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73" w:rsidRDefault="00215DE5" w:rsidP="00215DE5">
      <w:pPr>
        <w:pStyle w:val="NoSpacing"/>
        <w:rPr>
          <w:b/>
          <w:sz w:val="28"/>
        </w:rPr>
      </w:pPr>
      <w:r w:rsidRPr="00215DE5">
        <w:rPr>
          <w:b/>
          <w:sz w:val="28"/>
        </w:rPr>
        <w:t xml:space="preserve">One-way ANOVA </w:t>
      </w:r>
    </w:p>
    <w:p w:rsidR="00195473" w:rsidRDefault="00195473" w:rsidP="00215DE5">
      <w:pPr>
        <w:pStyle w:val="NoSpacing"/>
        <w:rPr>
          <w:b/>
          <w:sz w:val="28"/>
        </w:rPr>
      </w:pPr>
    </w:p>
    <w:p w:rsidR="005734FC" w:rsidRPr="00215DE5" w:rsidRDefault="00195473" w:rsidP="00215DE5">
      <w:pPr>
        <w:pStyle w:val="NoSpacing"/>
        <w:rPr>
          <w:b/>
          <w:sz w:val="28"/>
        </w:rPr>
      </w:pPr>
      <w:r>
        <w:rPr>
          <w:b/>
          <w:sz w:val="28"/>
        </w:rPr>
        <w:t xml:space="preserve">In-Class </w:t>
      </w:r>
      <w:r w:rsidR="00215DE5" w:rsidRPr="00215DE5">
        <w:rPr>
          <w:b/>
          <w:sz w:val="28"/>
        </w:rPr>
        <w:t>Activity</w:t>
      </w:r>
      <w:r>
        <w:rPr>
          <w:b/>
          <w:sz w:val="28"/>
        </w:rPr>
        <w:t xml:space="preserve"> #1</w:t>
      </w:r>
    </w:p>
    <w:p w:rsidR="00215DE5" w:rsidRDefault="00215DE5" w:rsidP="00215DE5">
      <w:pPr>
        <w:pStyle w:val="NoSpacing"/>
      </w:pPr>
    </w:p>
    <w:p w:rsidR="00195473" w:rsidRDefault="00195473" w:rsidP="00215DE5">
      <w:pPr>
        <w:pStyle w:val="NoSpacing"/>
      </w:pPr>
      <w:r>
        <w:t>H</w:t>
      </w:r>
      <w:r w:rsidR="00215DE5" w:rsidRPr="00215DE5">
        <w:t xml:space="preserve">ere are some data on a shell measurement (the length of the anterior adductor muscle scar, standardized by dividing by length; I'll call this "AAM length") in the mussel </w:t>
      </w:r>
      <w:proofErr w:type="spellStart"/>
      <w:r w:rsidR="00215DE5" w:rsidRPr="00215DE5">
        <w:rPr>
          <w:i/>
          <w:iCs/>
        </w:rPr>
        <w:t>Mytilus</w:t>
      </w:r>
      <w:proofErr w:type="spellEnd"/>
      <w:r w:rsidR="00215DE5" w:rsidRPr="00215DE5">
        <w:rPr>
          <w:i/>
          <w:iCs/>
        </w:rPr>
        <w:t xml:space="preserve"> </w:t>
      </w:r>
      <w:proofErr w:type="spellStart"/>
      <w:r w:rsidR="00215DE5" w:rsidRPr="00215DE5">
        <w:rPr>
          <w:i/>
          <w:iCs/>
        </w:rPr>
        <w:t>trossulus</w:t>
      </w:r>
      <w:proofErr w:type="spellEnd"/>
      <w:r w:rsidR="00215DE5" w:rsidRPr="00215DE5">
        <w:t xml:space="preserve"> from five locations: Tillamook, Oregon; Newport, Oregon; Petersburg, Alaska; Magadan, Russia; and </w:t>
      </w:r>
      <w:proofErr w:type="spellStart"/>
      <w:r w:rsidR="00215DE5" w:rsidRPr="00215DE5">
        <w:t>Tvarminne</w:t>
      </w:r>
      <w:proofErr w:type="spellEnd"/>
      <w:r w:rsidR="00215DE5" w:rsidRPr="00215DE5">
        <w:t xml:space="preserve">, Finland, taken from a much larger data set used in McDonald et al. (1991). The nominal variable is location, with the five values Tillamook, Newport, Petersburg, Magadan, and </w:t>
      </w:r>
      <w:proofErr w:type="spellStart"/>
      <w:r w:rsidR="00215DE5" w:rsidRPr="00215DE5">
        <w:t>Tvarminne</w:t>
      </w:r>
      <w:proofErr w:type="spellEnd"/>
      <w:r w:rsidR="00215DE5" w:rsidRPr="00215DE5">
        <w:t>. There are six to ten observations of the measurement variable, AAM length, from each location.</w:t>
      </w:r>
      <w:r w:rsidR="008A6919">
        <w:t xml:space="preserve"> </w:t>
      </w:r>
    </w:p>
    <w:p w:rsidR="00195473" w:rsidRDefault="00195473" w:rsidP="00215DE5">
      <w:pPr>
        <w:pStyle w:val="NoSpacing"/>
      </w:pPr>
    </w:p>
    <w:p w:rsidR="00215DE5" w:rsidRDefault="008A6919" w:rsidP="00215DE5">
      <w:pPr>
        <w:pStyle w:val="NoSpacing"/>
      </w:pPr>
      <w:r>
        <w:t>Copy and paste the data to excel.</w:t>
      </w:r>
    </w:p>
    <w:p w:rsidR="00195473" w:rsidRPr="00215DE5" w:rsidRDefault="00195473" w:rsidP="00215DE5">
      <w:pPr>
        <w:pStyle w:val="NoSpacing"/>
      </w:pPr>
    </w:p>
    <w:tbl>
      <w:tblPr>
        <w:tblStyle w:val="TableGrid"/>
        <w:tblW w:w="0" w:type="auto"/>
        <w:tblLayout w:type="fixed"/>
        <w:tblLook w:val="04A0" w:firstRow="1" w:lastRow="0" w:firstColumn="1" w:lastColumn="0" w:noHBand="0" w:noVBand="1"/>
      </w:tblPr>
      <w:tblGrid>
        <w:gridCol w:w="1548"/>
        <w:gridCol w:w="1260"/>
        <w:gridCol w:w="1440"/>
        <w:gridCol w:w="1440"/>
        <w:gridCol w:w="1530"/>
      </w:tblGrid>
      <w:tr w:rsidR="00215DE5" w:rsidRPr="00215DE5" w:rsidTr="0075614E">
        <w:tc>
          <w:tcPr>
            <w:tcW w:w="1548" w:type="dxa"/>
            <w:hideMark/>
          </w:tcPr>
          <w:p w:rsidR="00215DE5" w:rsidRPr="00215DE5" w:rsidRDefault="00215DE5" w:rsidP="008A6919">
            <w:pPr>
              <w:pStyle w:val="NoSpacing"/>
            </w:pPr>
          </w:p>
          <w:p w:rsidR="00215DE5" w:rsidRPr="00215DE5" w:rsidRDefault="00215DE5" w:rsidP="008A6919">
            <w:pPr>
              <w:pStyle w:val="NoSpacing"/>
            </w:pPr>
            <w:r w:rsidRPr="00215DE5">
              <w:t>Tillamook</w:t>
            </w:r>
          </w:p>
        </w:tc>
        <w:tc>
          <w:tcPr>
            <w:tcW w:w="1260" w:type="dxa"/>
            <w:hideMark/>
          </w:tcPr>
          <w:p w:rsidR="00215DE5" w:rsidRPr="00215DE5" w:rsidRDefault="00215DE5" w:rsidP="008A6919">
            <w:pPr>
              <w:pStyle w:val="NoSpacing"/>
            </w:pPr>
          </w:p>
          <w:p w:rsidR="00215DE5" w:rsidRPr="00215DE5" w:rsidRDefault="00215DE5" w:rsidP="008A6919">
            <w:pPr>
              <w:pStyle w:val="NoSpacing"/>
            </w:pPr>
            <w:r w:rsidRPr="00215DE5">
              <w:t>Newport</w:t>
            </w:r>
          </w:p>
        </w:tc>
        <w:tc>
          <w:tcPr>
            <w:tcW w:w="1440" w:type="dxa"/>
            <w:hideMark/>
          </w:tcPr>
          <w:p w:rsidR="00215DE5" w:rsidRPr="00215DE5" w:rsidRDefault="00215DE5" w:rsidP="008A6919">
            <w:pPr>
              <w:pStyle w:val="NoSpacing"/>
            </w:pPr>
          </w:p>
          <w:p w:rsidR="00215DE5" w:rsidRPr="00215DE5" w:rsidRDefault="00215DE5" w:rsidP="008A6919">
            <w:pPr>
              <w:pStyle w:val="NoSpacing"/>
            </w:pPr>
            <w:r w:rsidRPr="00215DE5">
              <w:t>Petersburg</w:t>
            </w:r>
          </w:p>
        </w:tc>
        <w:tc>
          <w:tcPr>
            <w:tcW w:w="1440" w:type="dxa"/>
            <w:hideMark/>
          </w:tcPr>
          <w:p w:rsidR="00215DE5" w:rsidRPr="00215DE5" w:rsidRDefault="00215DE5" w:rsidP="008A6919">
            <w:pPr>
              <w:pStyle w:val="NoSpacing"/>
            </w:pPr>
          </w:p>
          <w:p w:rsidR="00215DE5" w:rsidRPr="00215DE5" w:rsidRDefault="00215DE5" w:rsidP="008A6919">
            <w:pPr>
              <w:pStyle w:val="NoSpacing"/>
            </w:pPr>
            <w:r w:rsidRPr="00215DE5">
              <w:t>Magadan</w:t>
            </w:r>
          </w:p>
        </w:tc>
        <w:tc>
          <w:tcPr>
            <w:tcW w:w="1530" w:type="dxa"/>
            <w:hideMark/>
          </w:tcPr>
          <w:p w:rsidR="00215DE5" w:rsidRPr="00215DE5" w:rsidRDefault="00215DE5" w:rsidP="008A6919">
            <w:pPr>
              <w:pStyle w:val="NoSpacing"/>
            </w:pPr>
          </w:p>
          <w:p w:rsidR="00215DE5" w:rsidRPr="00215DE5" w:rsidRDefault="00215DE5" w:rsidP="008A6919">
            <w:pPr>
              <w:pStyle w:val="NoSpacing"/>
            </w:pPr>
            <w:proofErr w:type="spellStart"/>
            <w:r w:rsidRPr="00215DE5">
              <w:t>Tvarminne</w:t>
            </w:r>
            <w:proofErr w:type="spellEnd"/>
          </w:p>
        </w:tc>
      </w:tr>
      <w:tr w:rsidR="00215DE5" w:rsidRPr="00215DE5" w:rsidTr="0075614E">
        <w:tc>
          <w:tcPr>
            <w:tcW w:w="1548" w:type="dxa"/>
            <w:hideMark/>
          </w:tcPr>
          <w:p w:rsidR="00215DE5" w:rsidRPr="00215DE5" w:rsidRDefault="00215DE5" w:rsidP="008A6919">
            <w:pPr>
              <w:pStyle w:val="NoSpacing"/>
            </w:pPr>
            <w:r w:rsidRPr="00215DE5">
              <w:t>0.0571</w:t>
            </w:r>
          </w:p>
        </w:tc>
        <w:tc>
          <w:tcPr>
            <w:tcW w:w="1260" w:type="dxa"/>
            <w:hideMark/>
          </w:tcPr>
          <w:p w:rsidR="00215DE5" w:rsidRPr="00215DE5" w:rsidRDefault="00215DE5" w:rsidP="008A6919">
            <w:pPr>
              <w:pStyle w:val="NoSpacing"/>
            </w:pPr>
            <w:r w:rsidRPr="00215DE5">
              <w:t>0.0873</w:t>
            </w:r>
          </w:p>
        </w:tc>
        <w:tc>
          <w:tcPr>
            <w:tcW w:w="1440" w:type="dxa"/>
            <w:hideMark/>
          </w:tcPr>
          <w:p w:rsidR="00215DE5" w:rsidRPr="00215DE5" w:rsidRDefault="00215DE5" w:rsidP="008A6919">
            <w:pPr>
              <w:pStyle w:val="NoSpacing"/>
            </w:pPr>
            <w:r w:rsidRPr="00215DE5">
              <w:t>0.0974</w:t>
            </w:r>
          </w:p>
        </w:tc>
        <w:tc>
          <w:tcPr>
            <w:tcW w:w="1440" w:type="dxa"/>
            <w:hideMark/>
          </w:tcPr>
          <w:p w:rsidR="00215DE5" w:rsidRPr="00215DE5" w:rsidRDefault="00215DE5" w:rsidP="008A6919">
            <w:pPr>
              <w:pStyle w:val="NoSpacing"/>
            </w:pPr>
            <w:r w:rsidRPr="00215DE5">
              <w:t>0.1033</w:t>
            </w:r>
          </w:p>
        </w:tc>
        <w:tc>
          <w:tcPr>
            <w:tcW w:w="1530" w:type="dxa"/>
            <w:hideMark/>
          </w:tcPr>
          <w:p w:rsidR="00215DE5" w:rsidRPr="00215DE5" w:rsidRDefault="00215DE5" w:rsidP="008A6919">
            <w:pPr>
              <w:pStyle w:val="NoSpacing"/>
            </w:pPr>
            <w:r w:rsidRPr="00215DE5">
              <w:t>0.0703</w:t>
            </w:r>
          </w:p>
        </w:tc>
      </w:tr>
      <w:tr w:rsidR="00215DE5" w:rsidRPr="00215DE5" w:rsidTr="0075614E">
        <w:tc>
          <w:tcPr>
            <w:tcW w:w="1548" w:type="dxa"/>
            <w:hideMark/>
          </w:tcPr>
          <w:p w:rsidR="00215DE5" w:rsidRPr="00215DE5" w:rsidRDefault="00215DE5" w:rsidP="008A6919">
            <w:pPr>
              <w:pStyle w:val="NoSpacing"/>
            </w:pPr>
            <w:r w:rsidRPr="00215DE5">
              <w:t>0.0813</w:t>
            </w:r>
          </w:p>
        </w:tc>
        <w:tc>
          <w:tcPr>
            <w:tcW w:w="1260" w:type="dxa"/>
            <w:hideMark/>
          </w:tcPr>
          <w:p w:rsidR="00215DE5" w:rsidRPr="00215DE5" w:rsidRDefault="00215DE5" w:rsidP="008A6919">
            <w:pPr>
              <w:pStyle w:val="NoSpacing"/>
            </w:pPr>
            <w:r w:rsidRPr="00215DE5">
              <w:t>0.0662</w:t>
            </w:r>
          </w:p>
        </w:tc>
        <w:tc>
          <w:tcPr>
            <w:tcW w:w="1440" w:type="dxa"/>
            <w:hideMark/>
          </w:tcPr>
          <w:p w:rsidR="00215DE5" w:rsidRPr="00215DE5" w:rsidRDefault="00215DE5" w:rsidP="008A6919">
            <w:pPr>
              <w:pStyle w:val="NoSpacing"/>
            </w:pPr>
            <w:r w:rsidRPr="00215DE5">
              <w:t>0.1352</w:t>
            </w:r>
          </w:p>
        </w:tc>
        <w:tc>
          <w:tcPr>
            <w:tcW w:w="1440" w:type="dxa"/>
            <w:hideMark/>
          </w:tcPr>
          <w:p w:rsidR="00215DE5" w:rsidRPr="00215DE5" w:rsidRDefault="00215DE5" w:rsidP="008A6919">
            <w:pPr>
              <w:pStyle w:val="NoSpacing"/>
            </w:pPr>
            <w:r w:rsidRPr="00215DE5">
              <w:t>0.0915</w:t>
            </w:r>
          </w:p>
        </w:tc>
        <w:tc>
          <w:tcPr>
            <w:tcW w:w="1530" w:type="dxa"/>
            <w:hideMark/>
          </w:tcPr>
          <w:p w:rsidR="00215DE5" w:rsidRPr="00215DE5" w:rsidRDefault="00215DE5" w:rsidP="008A6919">
            <w:pPr>
              <w:pStyle w:val="NoSpacing"/>
            </w:pPr>
            <w:r w:rsidRPr="00215DE5">
              <w:t>0.1026</w:t>
            </w:r>
          </w:p>
        </w:tc>
      </w:tr>
      <w:tr w:rsidR="00215DE5" w:rsidRPr="00215DE5" w:rsidTr="0075614E">
        <w:tc>
          <w:tcPr>
            <w:tcW w:w="1548" w:type="dxa"/>
            <w:hideMark/>
          </w:tcPr>
          <w:p w:rsidR="00215DE5" w:rsidRPr="00215DE5" w:rsidRDefault="00215DE5" w:rsidP="008A6919">
            <w:pPr>
              <w:pStyle w:val="NoSpacing"/>
            </w:pPr>
            <w:r w:rsidRPr="00215DE5">
              <w:t>0.0831</w:t>
            </w:r>
          </w:p>
        </w:tc>
        <w:tc>
          <w:tcPr>
            <w:tcW w:w="1260" w:type="dxa"/>
            <w:hideMark/>
          </w:tcPr>
          <w:p w:rsidR="00215DE5" w:rsidRPr="00215DE5" w:rsidRDefault="00215DE5" w:rsidP="008A6919">
            <w:pPr>
              <w:pStyle w:val="NoSpacing"/>
            </w:pPr>
            <w:r w:rsidRPr="00215DE5">
              <w:t>0.0672</w:t>
            </w:r>
          </w:p>
        </w:tc>
        <w:tc>
          <w:tcPr>
            <w:tcW w:w="1440" w:type="dxa"/>
            <w:hideMark/>
          </w:tcPr>
          <w:p w:rsidR="00215DE5" w:rsidRPr="00215DE5" w:rsidRDefault="00215DE5" w:rsidP="008A6919">
            <w:pPr>
              <w:pStyle w:val="NoSpacing"/>
            </w:pPr>
            <w:r w:rsidRPr="00215DE5">
              <w:t>0.0817</w:t>
            </w:r>
          </w:p>
        </w:tc>
        <w:tc>
          <w:tcPr>
            <w:tcW w:w="1440" w:type="dxa"/>
            <w:hideMark/>
          </w:tcPr>
          <w:p w:rsidR="00215DE5" w:rsidRPr="00215DE5" w:rsidRDefault="00215DE5" w:rsidP="008A6919">
            <w:pPr>
              <w:pStyle w:val="NoSpacing"/>
            </w:pPr>
            <w:r w:rsidRPr="00215DE5">
              <w:t>0.0781</w:t>
            </w:r>
          </w:p>
        </w:tc>
        <w:tc>
          <w:tcPr>
            <w:tcW w:w="1530" w:type="dxa"/>
            <w:hideMark/>
          </w:tcPr>
          <w:p w:rsidR="00215DE5" w:rsidRPr="00215DE5" w:rsidRDefault="00215DE5" w:rsidP="008A6919">
            <w:pPr>
              <w:pStyle w:val="NoSpacing"/>
            </w:pPr>
            <w:r w:rsidRPr="00215DE5">
              <w:t>0.0956</w:t>
            </w:r>
          </w:p>
        </w:tc>
      </w:tr>
      <w:tr w:rsidR="00215DE5" w:rsidRPr="00215DE5" w:rsidTr="0075614E">
        <w:tc>
          <w:tcPr>
            <w:tcW w:w="1548" w:type="dxa"/>
            <w:hideMark/>
          </w:tcPr>
          <w:p w:rsidR="00215DE5" w:rsidRPr="00215DE5" w:rsidRDefault="00215DE5" w:rsidP="008A6919">
            <w:pPr>
              <w:pStyle w:val="NoSpacing"/>
            </w:pPr>
            <w:r w:rsidRPr="00215DE5">
              <w:t>0.0976</w:t>
            </w:r>
          </w:p>
        </w:tc>
        <w:tc>
          <w:tcPr>
            <w:tcW w:w="1260" w:type="dxa"/>
            <w:hideMark/>
          </w:tcPr>
          <w:p w:rsidR="00215DE5" w:rsidRPr="00215DE5" w:rsidRDefault="00215DE5" w:rsidP="008A6919">
            <w:pPr>
              <w:pStyle w:val="NoSpacing"/>
            </w:pPr>
            <w:r w:rsidRPr="00215DE5">
              <w:t>0.0819</w:t>
            </w:r>
          </w:p>
        </w:tc>
        <w:tc>
          <w:tcPr>
            <w:tcW w:w="1440" w:type="dxa"/>
            <w:hideMark/>
          </w:tcPr>
          <w:p w:rsidR="00215DE5" w:rsidRPr="00215DE5" w:rsidRDefault="00215DE5" w:rsidP="008A6919">
            <w:pPr>
              <w:pStyle w:val="NoSpacing"/>
            </w:pPr>
            <w:r w:rsidRPr="00215DE5">
              <w:t>0.1016</w:t>
            </w:r>
          </w:p>
        </w:tc>
        <w:tc>
          <w:tcPr>
            <w:tcW w:w="1440" w:type="dxa"/>
            <w:hideMark/>
          </w:tcPr>
          <w:p w:rsidR="00215DE5" w:rsidRPr="00215DE5" w:rsidRDefault="00215DE5" w:rsidP="008A6919">
            <w:pPr>
              <w:pStyle w:val="NoSpacing"/>
            </w:pPr>
            <w:r w:rsidRPr="00215DE5">
              <w:t>0.0685</w:t>
            </w:r>
          </w:p>
        </w:tc>
        <w:tc>
          <w:tcPr>
            <w:tcW w:w="1530" w:type="dxa"/>
            <w:hideMark/>
          </w:tcPr>
          <w:p w:rsidR="00215DE5" w:rsidRPr="00215DE5" w:rsidRDefault="00215DE5" w:rsidP="008A6919">
            <w:pPr>
              <w:pStyle w:val="NoSpacing"/>
            </w:pPr>
            <w:r w:rsidRPr="00215DE5">
              <w:t>0.0973</w:t>
            </w:r>
          </w:p>
        </w:tc>
      </w:tr>
      <w:tr w:rsidR="00215DE5" w:rsidRPr="00215DE5" w:rsidTr="0075614E">
        <w:tc>
          <w:tcPr>
            <w:tcW w:w="1548" w:type="dxa"/>
            <w:hideMark/>
          </w:tcPr>
          <w:p w:rsidR="00215DE5" w:rsidRPr="00215DE5" w:rsidRDefault="00215DE5" w:rsidP="008A6919">
            <w:pPr>
              <w:pStyle w:val="NoSpacing"/>
            </w:pPr>
            <w:r w:rsidRPr="00215DE5">
              <w:t>0.0817</w:t>
            </w:r>
          </w:p>
        </w:tc>
        <w:tc>
          <w:tcPr>
            <w:tcW w:w="1260" w:type="dxa"/>
            <w:hideMark/>
          </w:tcPr>
          <w:p w:rsidR="00215DE5" w:rsidRPr="00215DE5" w:rsidRDefault="00215DE5" w:rsidP="008A6919">
            <w:pPr>
              <w:pStyle w:val="NoSpacing"/>
            </w:pPr>
            <w:r w:rsidRPr="00215DE5">
              <w:t>0.0749</w:t>
            </w:r>
          </w:p>
        </w:tc>
        <w:tc>
          <w:tcPr>
            <w:tcW w:w="1440" w:type="dxa"/>
            <w:hideMark/>
          </w:tcPr>
          <w:p w:rsidR="00215DE5" w:rsidRPr="00215DE5" w:rsidRDefault="00215DE5" w:rsidP="008A6919">
            <w:pPr>
              <w:pStyle w:val="NoSpacing"/>
            </w:pPr>
            <w:r w:rsidRPr="00215DE5">
              <w:t>0.0968</w:t>
            </w:r>
          </w:p>
        </w:tc>
        <w:tc>
          <w:tcPr>
            <w:tcW w:w="1440" w:type="dxa"/>
            <w:hideMark/>
          </w:tcPr>
          <w:p w:rsidR="00215DE5" w:rsidRPr="00215DE5" w:rsidRDefault="00215DE5" w:rsidP="008A6919">
            <w:pPr>
              <w:pStyle w:val="NoSpacing"/>
            </w:pPr>
            <w:r w:rsidRPr="00215DE5">
              <w:t>0.0677</w:t>
            </w:r>
          </w:p>
        </w:tc>
        <w:tc>
          <w:tcPr>
            <w:tcW w:w="1530" w:type="dxa"/>
            <w:hideMark/>
          </w:tcPr>
          <w:p w:rsidR="00215DE5" w:rsidRPr="00215DE5" w:rsidRDefault="00215DE5" w:rsidP="008A6919">
            <w:pPr>
              <w:pStyle w:val="NoSpacing"/>
            </w:pPr>
            <w:r w:rsidRPr="00215DE5">
              <w:t>0.1039</w:t>
            </w:r>
          </w:p>
        </w:tc>
      </w:tr>
      <w:tr w:rsidR="00215DE5" w:rsidRPr="00215DE5" w:rsidTr="0075614E">
        <w:tc>
          <w:tcPr>
            <w:tcW w:w="1548" w:type="dxa"/>
            <w:hideMark/>
          </w:tcPr>
          <w:p w:rsidR="00215DE5" w:rsidRPr="00215DE5" w:rsidRDefault="00215DE5" w:rsidP="008A6919">
            <w:pPr>
              <w:pStyle w:val="NoSpacing"/>
            </w:pPr>
            <w:r w:rsidRPr="00215DE5">
              <w:t>0.0859</w:t>
            </w:r>
          </w:p>
        </w:tc>
        <w:tc>
          <w:tcPr>
            <w:tcW w:w="1260" w:type="dxa"/>
            <w:hideMark/>
          </w:tcPr>
          <w:p w:rsidR="00215DE5" w:rsidRPr="00215DE5" w:rsidRDefault="00215DE5" w:rsidP="008A6919">
            <w:pPr>
              <w:pStyle w:val="NoSpacing"/>
            </w:pPr>
            <w:r w:rsidRPr="00215DE5">
              <w:t>0.0649</w:t>
            </w:r>
          </w:p>
        </w:tc>
        <w:tc>
          <w:tcPr>
            <w:tcW w:w="1440" w:type="dxa"/>
            <w:hideMark/>
          </w:tcPr>
          <w:p w:rsidR="00215DE5" w:rsidRPr="00215DE5" w:rsidRDefault="00215DE5" w:rsidP="008A6919">
            <w:pPr>
              <w:pStyle w:val="NoSpacing"/>
            </w:pPr>
            <w:r w:rsidRPr="00215DE5">
              <w:t>0.1064</w:t>
            </w:r>
          </w:p>
        </w:tc>
        <w:tc>
          <w:tcPr>
            <w:tcW w:w="1440" w:type="dxa"/>
            <w:hideMark/>
          </w:tcPr>
          <w:p w:rsidR="00215DE5" w:rsidRPr="00215DE5" w:rsidRDefault="00215DE5" w:rsidP="008A6919">
            <w:pPr>
              <w:pStyle w:val="NoSpacing"/>
            </w:pPr>
            <w:r w:rsidRPr="00215DE5">
              <w:t>0.0697</w:t>
            </w:r>
          </w:p>
        </w:tc>
        <w:tc>
          <w:tcPr>
            <w:tcW w:w="1530" w:type="dxa"/>
            <w:hideMark/>
          </w:tcPr>
          <w:p w:rsidR="00215DE5" w:rsidRPr="00215DE5" w:rsidRDefault="00215DE5" w:rsidP="008A6919">
            <w:pPr>
              <w:pStyle w:val="NoSpacing"/>
            </w:pPr>
            <w:r w:rsidRPr="00215DE5">
              <w:t>0.1045</w:t>
            </w:r>
          </w:p>
        </w:tc>
      </w:tr>
      <w:tr w:rsidR="00215DE5" w:rsidRPr="00215DE5" w:rsidTr="0075614E">
        <w:tc>
          <w:tcPr>
            <w:tcW w:w="1548" w:type="dxa"/>
            <w:hideMark/>
          </w:tcPr>
          <w:p w:rsidR="00215DE5" w:rsidRPr="00215DE5" w:rsidRDefault="00215DE5" w:rsidP="008A6919">
            <w:pPr>
              <w:pStyle w:val="NoSpacing"/>
            </w:pPr>
            <w:r w:rsidRPr="00215DE5">
              <w:t>0.0735</w:t>
            </w:r>
          </w:p>
        </w:tc>
        <w:tc>
          <w:tcPr>
            <w:tcW w:w="1260" w:type="dxa"/>
            <w:hideMark/>
          </w:tcPr>
          <w:p w:rsidR="00215DE5" w:rsidRPr="00215DE5" w:rsidRDefault="00215DE5" w:rsidP="008A6919">
            <w:pPr>
              <w:pStyle w:val="NoSpacing"/>
            </w:pPr>
            <w:r w:rsidRPr="00215DE5">
              <w:t>0.0835</w:t>
            </w:r>
          </w:p>
        </w:tc>
        <w:tc>
          <w:tcPr>
            <w:tcW w:w="1440" w:type="dxa"/>
            <w:hideMark/>
          </w:tcPr>
          <w:p w:rsidR="00215DE5" w:rsidRPr="00215DE5" w:rsidRDefault="00215DE5" w:rsidP="008A6919">
            <w:pPr>
              <w:pStyle w:val="NoSpacing"/>
            </w:pPr>
            <w:r w:rsidRPr="00215DE5">
              <w:t>0.105</w:t>
            </w:r>
          </w:p>
        </w:tc>
        <w:tc>
          <w:tcPr>
            <w:tcW w:w="1440" w:type="dxa"/>
            <w:hideMark/>
          </w:tcPr>
          <w:p w:rsidR="00215DE5" w:rsidRPr="00215DE5" w:rsidRDefault="00215DE5" w:rsidP="008A6919">
            <w:pPr>
              <w:pStyle w:val="NoSpacing"/>
            </w:pPr>
            <w:r w:rsidRPr="00215DE5">
              <w:t>0.0764</w:t>
            </w:r>
          </w:p>
        </w:tc>
        <w:tc>
          <w:tcPr>
            <w:tcW w:w="1530" w:type="dxa"/>
            <w:hideMark/>
          </w:tcPr>
          <w:p w:rsidR="00215DE5" w:rsidRPr="00215DE5" w:rsidRDefault="00215DE5" w:rsidP="008A6919">
            <w:pPr>
              <w:pStyle w:val="NoSpacing"/>
            </w:pPr>
            <w:r w:rsidRPr="00215DE5">
              <w:t> </w:t>
            </w:r>
          </w:p>
        </w:tc>
      </w:tr>
      <w:tr w:rsidR="00215DE5" w:rsidRPr="00215DE5" w:rsidTr="0075614E">
        <w:tc>
          <w:tcPr>
            <w:tcW w:w="1548" w:type="dxa"/>
            <w:hideMark/>
          </w:tcPr>
          <w:p w:rsidR="00215DE5" w:rsidRPr="00215DE5" w:rsidRDefault="00215DE5" w:rsidP="008A6919">
            <w:pPr>
              <w:pStyle w:val="NoSpacing"/>
            </w:pPr>
            <w:r w:rsidRPr="00215DE5">
              <w:t>0.0659</w:t>
            </w:r>
          </w:p>
        </w:tc>
        <w:tc>
          <w:tcPr>
            <w:tcW w:w="1260" w:type="dxa"/>
            <w:hideMark/>
          </w:tcPr>
          <w:p w:rsidR="00215DE5" w:rsidRPr="00215DE5" w:rsidRDefault="00215DE5" w:rsidP="008A6919">
            <w:pPr>
              <w:pStyle w:val="NoSpacing"/>
            </w:pPr>
            <w:r w:rsidRPr="00215DE5">
              <w:t>0.0725</w:t>
            </w:r>
          </w:p>
        </w:tc>
        <w:tc>
          <w:tcPr>
            <w:tcW w:w="1440" w:type="dxa"/>
            <w:hideMark/>
          </w:tcPr>
          <w:p w:rsidR="00215DE5" w:rsidRPr="00215DE5" w:rsidRDefault="00215DE5" w:rsidP="008A6919">
            <w:pPr>
              <w:pStyle w:val="NoSpacing"/>
            </w:pPr>
            <w:r w:rsidRPr="00215DE5">
              <w:t> </w:t>
            </w:r>
          </w:p>
        </w:tc>
        <w:tc>
          <w:tcPr>
            <w:tcW w:w="1440" w:type="dxa"/>
            <w:hideMark/>
          </w:tcPr>
          <w:p w:rsidR="00215DE5" w:rsidRPr="00215DE5" w:rsidRDefault="00215DE5" w:rsidP="008A6919">
            <w:pPr>
              <w:pStyle w:val="NoSpacing"/>
            </w:pPr>
            <w:r w:rsidRPr="00215DE5">
              <w:t>0.0689</w:t>
            </w:r>
          </w:p>
        </w:tc>
        <w:tc>
          <w:tcPr>
            <w:tcW w:w="1530" w:type="dxa"/>
            <w:hideMark/>
          </w:tcPr>
          <w:p w:rsidR="00215DE5" w:rsidRPr="00215DE5" w:rsidRDefault="00215DE5" w:rsidP="008A6919">
            <w:pPr>
              <w:pStyle w:val="NoSpacing"/>
            </w:pPr>
            <w:r w:rsidRPr="00215DE5">
              <w:t> </w:t>
            </w:r>
          </w:p>
        </w:tc>
      </w:tr>
      <w:tr w:rsidR="00215DE5" w:rsidRPr="00215DE5" w:rsidTr="0075614E">
        <w:tc>
          <w:tcPr>
            <w:tcW w:w="1548" w:type="dxa"/>
            <w:hideMark/>
          </w:tcPr>
          <w:p w:rsidR="00215DE5" w:rsidRPr="00215DE5" w:rsidRDefault="00215DE5" w:rsidP="008A6919">
            <w:pPr>
              <w:pStyle w:val="NoSpacing"/>
            </w:pPr>
            <w:r w:rsidRPr="00215DE5">
              <w:t>0.0923</w:t>
            </w:r>
          </w:p>
        </w:tc>
        <w:tc>
          <w:tcPr>
            <w:tcW w:w="1260" w:type="dxa"/>
            <w:hideMark/>
          </w:tcPr>
          <w:p w:rsidR="00215DE5" w:rsidRPr="00215DE5" w:rsidRDefault="00215DE5" w:rsidP="008A6919">
            <w:pPr>
              <w:pStyle w:val="NoSpacing"/>
            </w:pPr>
            <w:r w:rsidRPr="00215DE5">
              <w:t> </w:t>
            </w:r>
          </w:p>
        </w:tc>
        <w:tc>
          <w:tcPr>
            <w:tcW w:w="1440" w:type="dxa"/>
            <w:hideMark/>
          </w:tcPr>
          <w:p w:rsidR="00215DE5" w:rsidRPr="00215DE5" w:rsidRDefault="00215DE5" w:rsidP="008A6919">
            <w:pPr>
              <w:pStyle w:val="NoSpacing"/>
            </w:pPr>
            <w:r w:rsidRPr="00215DE5">
              <w:t> </w:t>
            </w:r>
          </w:p>
        </w:tc>
        <w:tc>
          <w:tcPr>
            <w:tcW w:w="1440" w:type="dxa"/>
            <w:hideMark/>
          </w:tcPr>
          <w:p w:rsidR="00215DE5" w:rsidRPr="00215DE5" w:rsidRDefault="00215DE5" w:rsidP="008A6919">
            <w:pPr>
              <w:pStyle w:val="NoSpacing"/>
            </w:pPr>
            <w:r w:rsidRPr="00215DE5">
              <w:t> </w:t>
            </w:r>
          </w:p>
        </w:tc>
        <w:tc>
          <w:tcPr>
            <w:tcW w:w="1530" w:type="dxa"/>
            <w:hideMark/>
          </w:tcPr>
          <w:p w:rsidR="00215DE5" w:rsidRPr="00215DE5" w:rsidRDefault="00215DE5" w:rsidP="008A6919">
            <w:pPr>
              <w:pStyle w:val="NoSpacing"/>
            </w:pPr>
            <w:r w:rsidRPr="00215DE5">
              <w:t> </w:t>
            </w:r>
          </w:p>
        </w:tc>
      </w:tr>
      <w:tr w:rsidR="00215DE5" w:rsidRPr="00215DE5" w:rsidTr="0075614E">
        <w:tc>
          <w:tcPr>
            <w:tcW w:w="1548" w:type="dxa"/>
            <w:hideMark/>
          </w:tcPr>
          <w:p w:rsidR="00215DE5" w:rsidRPr="00215DE5" w:rsidRDefault="00215DE5" w:rsidP="008A6919">
            <w:pPr>
              <w:pStyle w:val="NoSpacing"/>
            </w:pPr>
            <w:r w:rsidRPr="00215DE5">
              <w:t>0.0836</w:t>
            </w:r>
          </w:p>
        </w:tc>
        <w:tc>
          <w:tcPr>
            <w:tcW w:w="1260" w:type="dxa"/>
            <w:hideMark/>
          </w:tcPr>
          <w:p w:rsidR="00215DE5" w:rsidRPr="00215DE5" w:rsidRDefault="00215DE5" w:rsidP="008A6919">
            <w:pPr>
              <w:pStyle w:val="NoSpacing"/>
            </w:pPr>
            <w:r w:rsidRPr="00215DE5">
              <w:t> </w:t>
            </w:r>
          </w:p>
        </w:tc>
        <w:tc>
          <w:tcPr>
            <w:tcW w:w="1440" w:type="dxa"/>
            <w:hideMark/>
          </w:tcPr>
          <w:p w:rsidR="00215DE5" w:rsidRPr="00215DE5" w:rsidRDefault="00215DE5" w:rsidP="008A6919">
            <w:pPr>
              <w:pStyle w:val="NoSpacing"/>
            </w:pPr>
            <w:r w:rsidRPr="00215DE5">
              <w:t> </w:t>
            </w:r>
          </w:p>
        </w:tc>
        <w:tc>
          <w:tcPr>
            <w:tcW w:w="1440" w:type="dxa"/>
            <w:hideMark/>
          </w:tcPr>
          <w:p w:rsidR="00215DE5" w:rsidRPr="00215DE5" w:rsidRDefault="00215DE5" w:rsidP="008A6919">
            <w:pPr>
              <w:pStyle w:val="NoSpacing"/>
            </w:pPr>
            <w:r w:rsidRPr="00215DE5">
              <w:t> </w:t>
            </w:r>
          </w:p>
        </w:tc>
        <w:tc>
          <w:tcPr>
            <w:tcW w:w="1530" w:type="dxa"/>
            <w:hideMark/>
          </w:tcPr>
          <w:p w:rsidR="00215DE5" w:rsidRPr="00215DE5" w:rsidRDefault="00215DE5" w:rsidP="008A6919">
            <w:pPr>
              <w:pStyle w:val="NoSpacing"/>
            </w:pPr>
            <w:r w:rsidRPr="00215DE5">
              <w:t> </w:t>
            </w:r>
          </w:p>
        </w:tc>
      </w:tr>
    </w:tbl>
    <w:p w:rsidR="00215DE5" w:rsidRDefault="00215DE5" w:rsidP="00215DE5">
      <w:pPr>
        <w:pStyle w:val="NoSpacing"/>
        <w:rPr>
          <w:b/>
          <w:u w:val="single"/>
        </w:rPr>
      </w:pPr>
    </w:p>
    <w:p w:rsidR="00215DE5" w:rsidRPr="00215DE5" w:rsidRDefault="00215DE5" w:rsidP="00215DE5">
      <w:pPr>
        <w:pStyle w:val="NoSpacing"/>
        <w:rPr>
          <w:b/>
          <w:u w:val="single"/>
        </w:rPr>
      </w:pPr>
      <w:r w:rsidRPr="00215DE5">
        <w:rPr>
          <w:b/>
          <w:u w:val="single"/>
        </w:rPr>
        <w:t>Hypothesis</w:t>
      </w:r>
    </w:p>
    <w:p w:rsidR="00215DE5" w:rsidRDefault="00215DE5" w:rsidP="00215DE5">
      <w:pPr>
        <w:pStyle w:val="NoSpacing"/>
      </w:pPr>
      <w:r w:rsidRPr="00215DE5">
        <w:t>The statistical null hypothesis is that the means of the measurement variable are the same for the different categories of data; the alternative hypothesis is that they are not all the same. For the example data set, the null hypothesis is that the mean AAM length is the same at each location, and the alternative hypothesis is that the mean AAM lengths are not all the same.</w:t>
      </w:r>
    </w:p>
    <w:p w:rsidR="00215DE5" w:rsidRDefault="00215DE5" w:rsidP="00215DE5">
      <w:pPr>
        <w:pStyle w:val="NoSpacing"/>
      </w:pPr>
    </w:p>
    <w:p w:rsidR="00215DE5" w:rsidRPr="00392844" w:rsidRDefault="002172C0" w:rsidP="002172C0">
      <w:pPr>
        <w:pStyle w:val="NoSpacing"/>
        <w:numPr>
          <w:ilvl w:val="0"/>
          <w:numId w:val="2"/>
        </w:numPr>
        <w:rPr>
          <w:i/>
        </w:rPr>
      </w:pPr>
      <w:r w:rsidRPr="00392844">
        <w:rPr>
          <w:i/>
        </w:rPr>
        <w:t>Using statistical notation, write your hypothesis below:</w:t>
      </w:r>
    </w:p>
    <w:p w:rsidR="002172C0" w:rsidRPr="00392844" w:rsidRDefault="002172C0" w:rsidP="00215DE5">
      <w:pPr>
        <w:pStyle w:val="NoSpacing"/>
        <w:rPr>
          <w:i/>
        </w:rPr>
      </w:pPr>
    </w:p>
    <w:p w:rsidR="002172C0" w:rsidRPr="00392844" w:rsidRDefault="002172C0" w:rsidP="00215DE5">
      <w:pPr>
        <w:pStyle w:val="NoSpacing"/>
        <w:rPr>
          <w:i/>
        </w:rPr>
      </w:pPr>
      <w:r w:rsidRPr="00392844">
        <w:rPr>
          <w:i/>
        </w:rPr>
        <w:t>Null: _______________________________________________________</w:t>
      </w:r>
    </w:p>
    <w:p w:rsidR="002172C0" w:rsidRPr="00392844" w:rsidRDefault="002172C0" w:rsidP="00215DE5">
      <w:pPr>
        <w:pStyle w:val="NoSpacing"/>
        <w:rPr>
          <w:i/>
        </w:rPr>
      </w:pPr>
    </w:p>
    <w:p w:rsidR="002172C0" w:rsidRPr="00392844" w:rsidRDefault="002172C0" w:rsidP="00215DE5">
      <w:pPr>
        <w:pStyle w:val="NoSpacing"/>
        <w:rPr>
          <w:i/>
        </w:rPr>
      </w:pPr>
      <w:r w:rsidRPr="00392844">
        <w:rPr>
          <w:i/>
        </w:rPr>
        <w:t>Alternative: __________________________________________________</w:t>
      </w:r>
    </w:p>
    <w:p w:rsidR="002172C0" w:rsidRPr="00392844" w:rsidRDefault="002172C0" w:rsidP="00215DE5">
      <w:pPr>
        <w:pStyle w:val="NoSpacing"/>
        <w:rPr>
          <w:i/>
        </w:rPr>
      </w:pPr>
    </w:p>
    <w:p w:rsidR="002172C0" w:rsidRPr="00392844" w:rsidRDefault="002172C0" w:rsidP="00215DE5">
      <w:pPr>
        <w:pStyle w:val="NoSpacing"/>
        <w:rPr>
          <w:i/>
        </w:rPr>
      </w:pPr>
    </w:p>
    <w:p w:rsidR="002172C0" w:rsidRPr="00392844" w:rsidRDefault="002172C0" w:rsidP="002172C0">
      <w:pPr>
        <w:pStyle w:val="NoSpacing"/>
        <w:rPr>
          <w:i/>
        </w:rPr>
      </w:pPr>
    </w:p>
    <w:p w:rsidR="002172C0" w:rsidRDefault="002172C0" w:rsidP="002172C0">
      <w:pPr>
        <w:pStyle w:val="NoSpacing"/>
      </w:pPr>
    </w:p>
    <w:p w:rsidR="008A6919" w:rsidRDefault="008A6919" w:rsidP="002172C0">
      <w:pPr>
        <w:pStyle w:val="NoSpacing"/>
        <w:rPr>
          <w:b/>
          <w:u w:val="single"/>
        </w:rPr>
      </w:pPr>
    </w:p>
    <w:p w:rsidR="00195473" w:rsidRDefault="00195473" w:rsidP="002172C0">
      <w:pPr>
        <w:pStyle w:val="NoSpacing"/>
        <w:rPr>
          <w:b/>
          <w:u w:val="single"/>
        </w:rPr>
      </w:pPr>
    </w:p>
    <w:p w:rsidR="00195473" w:rsidRDefault="00195473" w:rsidP="002172C0">
      <w:pPr>
        <w:pStyle w:val="NoSpacing"/>
        <w:rPr>
          <w:b/>
          <w:u w:val="single"/>
        </w:rPr>
      </w:pPr>
    </w:p>
    <w:p w:rsidR="00195473" w:rsidRDefault="00195473" w:rsidP="002172C0">
      <w:pPr>
        <w:pStyle w:val="NoSpacing"/>
        <w:rPr>
          <w:b/>
          <w:u w:val="single"/>
        </w:rPr>
      </w:pPr>
    </w:p>
    <w:p w:rsidR="00195473" w:rsidRDefault="00195473" w:rsidP="002172C0">
      <w:pPr>
        <w:pStyle w:val="NoSpacing"/>
        <w:rPr>
          <w:b/>
          <w:u w:val="single"/>
        </w:rPr>
      </w:pPr>
    </w:p>
    <w:p w:rsidR="002172C0" w:rsidRPr="002172C0" w:rsidRDefault="002172C0" w:rsidP="002172C0">
      <w:pPr>
        <w:pStyle w:val="NoSpacing"/>
        <w:rPr>
          <w:b/>
          <w:u w:val="single"/>
        </w:rPr>
      </w:pPr>
      <w:r w:rsidRPr="002172C0">
        <w:rPr>
          <w:b/>
          <w:u w:val="single"/>
        </w:rPr>
        <w:t xml:space="preserve">Assumptions to consider before conducting a one-way </w:t>
      </w:r>
      <w:proofErr w:type="spellStart"/>
      <w:r w:rsidRPr="002172C0">
        <w:rPr>
          <w:b/>
          <w:u w:val="single"/>
        </w:rPr>
        <w:t>anova</w:t>
      </w:r>
      <w:proofErr w:type="spellEnd"/>
    </w:p>
    <w:p w:rsidR="007F7E77" w:rsidRDefault="007F7E77" w:rsidP="002172C0">
      <w:pPr>
        <w:pStyle w:val="NoSpacing"/>
      </w:pPr>
    </w:p>
    <w:p w:rsidR="004B23D1" w:rsidRDefault="004B23D1" w:rsidP="007F7E77">
      <w:pPr>
        <w:pStyle w:val="NoSpacing"/>
        <w:ind w:left="720"/>
      </w:pPr>
    </w:p>
    <w:p w:rsidR="004B23D1" w:rsidRDefault="004B23D1" w:rsidP="00BA4E36">
      <w:pPr>
        <w:pStyle w:val="NoSpacing"/>
        <w:numPr>
          <w:ilvl w:val="0"/>
          <w:numId w:val="13"/>
        </w:numPr>
      </w:pPr>
      <w:r>
        <w:t>The samples must be independent</w:t>
      </w:r>
    </w:p>
    <w:p w:rsidR="007F7E77" w:rsidRDefault="007F7E77" w:rsidP="00BA4E36">
      <w:pPr>
        <w:pStyle w:val="NoSpacing"/>
        <w:numPr>
          <w:ilvl w:val="0"/>
          <w:numId w:val="13"/>
        </w:numPr>
      </w:pPr>
      <w:r>
        <w:t>The populations from which the samples were obtained must be normally or approximately normally distributed</w:t>
      </w:r>
    </w:p>
    <w:p w:rsidR="007F7E77" w:rsidRDefault="007F7E77" w:rsidP="00BA4E36">
      <w:pPr>
        <w:pStyle w:val="NoSpacing"/>
        <w:numPr>
          <w:ilvl w:val="0"/>
          <w:numId w:val="13"/>
        </w:numPr>
      </w:pPr>
      <w:r>
        <w:t>The variances of the populations must be equal</w:t>
      </w:r>
    </w:p>
    <w:p w:rsidR="007F7E77" w:rsidRDefault="007F7E77" w:rsidP="002172C0">
      <w:pPr>
        <w:pStyle w:val="NoSpacing"/>
      </w:pPr>
    </w:p>
    <w:p w:rsidR="002172C0" w:rsidRDefault="002172C0" w:rsidP="002172C0">
      <w:pPr>
        <w:pStyle w:val="NoSpacing"/>
      </w:pPr>
      <w:r>
        <w:t xml:space="preserve">One-way </w:t>
      </w:r>
      <w:proofErr w:type="spellStart"/>
      <w:r>
        <w:t>anova</w:t>
      </w:r>
      <w:proofErr w:type="spellEnd"/>
      <w:r>
        <w:t xml:space="preserve"> assumes that the observations within each group are normally distributed. It is not particularly sensitive to deviations from this assumption; if you apply one-way </w:t>
      </w:r>
      <w:proofErr w:type="spellStart"/>
      <w:r>
        <w:t>anova</w:t>
      </w:r>
      <w:proofErr w:type="spellEnd"/>
      <w:r>
        <w:t xml:space="preserve"> to data that are non-normal, your chance of getting a P value less than 0.05, if the null hypothesis is true, is still pretty close to 0.05. You should calculate the residuals (the difference between each observation and the mean of its gro</w:t>
      </w:r>
      <w:r w:rsidR="00FD6D92">
        <w:t>up) and plot them</w:t>
      </w:r>
      <w:r>
        <w:t>. If the residuals look severely non-normal, we might want to consider a different type of analysis.</w:t>
      </w:r>
    </w:p>
    <w:p w:rsidR="002172C0" w:rsidRDefault="002172C0" w:rsidP="002172C0">
      <w:pPr>
        <w:pStyle w:val="NoSpacing"/>
      </w:pPr>
    </w:p>
    <w:p w:rsidR="002172C0" w:rsidRPr="00392844" w:rsidRDefault="002172C0" w:rsidP="002172C0">
      <w:pPr>
        <w:pStyle w:val="NoSpacing"/>
        <w:rPr>
          <w:i/>
        </w:rPr>
      </w:pPr>
      <w:r w:rsidRPr="00392844">
        <w:rPr>
          <w:i/>
        </w:rPr>
        <w:t xml:space="preserve">Using the </w:t>
      </w:r>
      <w:r w:rsidR="005A2174">
        <w:rPr>
          <w:i/>
        </w:rPr>
        <w:t>AAM</w:t>
      </w:r>
      <w:r w:rsidRPr="00392844">
        <w:rPr>
          <w:i/>
        </w:rPr>
        <w:t xml:space="preserve"> data from above, copy an</w:t>
      </w:r>
      <w:r w:rsidR="00FD6D92">
        <w:rPr>
          <w:i/>
        </w:rPr>
        <w:t xml:space="preserve">d paste your 5 residual normal probability plots </w:t>
      </w:r>
      <w:r w:rsidRPr="00392844">
        <w:rPr>
          <w:i/>
        </w:rPr>
        <w:t>here:</w:t>
      </w:r>
    </w:p>
    <w:p w:rsidR="002172C0" w:rsidRPr="00392844" w:rsidRDefault="002172C0" w:rsidP="002172C0">
      <w:pPr>
        <w:pStyle w:val="NoSpacing"/>
        <w:rPr>
          <w:i/>
        </w:rPr>
      </w:pPr>
    </w:p>
    <w:p w:rsidR="002172C0" w:rsidRPr="00392844" w:rsidRDefault="002172C0" w:rsidP="002172C0">
      <w:pPr>
        <w:pStyle w:val="NoSpacing"/>
        <w:numPr>
          <w:ilvl w:val="0"/>
          <w:numId w:val="2"/>
        </w:numPr>
        <w:rPr>
          <w:i/>
        </w:rPr>
      </w:pPr>
    </w:p>
    <w:p w:rsidR="002172C0" w:rsidRDefault="002172C0" w:rsidP="002172C0">
      <w:pPr>
        <w:pStyle w:val="NoSpacing"/>
      </w:pPr>
    </w:p>
    <w:p w:rsidR="002172C0" w:rsidRDefault="002172C0" w:rsidP="002172C0">
      <w:pPr>
        <w:pStyle w:val="NoSpacing"/>
      </w:pPr>
    </w:p>
    <w:p w:rsidR="002172C0" w:rsidRDefault="002172C0" w:rsidP="002172C0">
      <w:pPr>
        <w:pStyle w:val="NoSpacing"/>
      </w:pPr>
    </w:p>
    <w:p w:rsidR="002172C0" w:rsidRDefault="002172C0" w:rsidP="002172C0">
      <w:pPr>
        <w:pStyle w:val="NoSpacing"/>
      </w:pPr>
    </w:p>
    <w:p w:rsidR="002172C0" w:rsidRDefault="002172C0" w:rsidP="002172C0">
      <w:pPr>
        <w:pStyle w:val="NoSpacing"/>
      </w:pPr>
    </w:p>
    <w:p w:rsidR="002172C0" w:rsidRDefault="002172C0" w:rsidP="002172C0">
      <w:pPr>
        <w:pStyle w:val="NoSpacing"/>
      </w:pPr>
    </w:p>
    <w:p w:rsidR="002172C0" w:rsidRDefault="002172C0" w:rsidP="002172C0">
      <w:pPr>
        <w:pStyle w:val="NoSpacing"/>
      </w:pPr>
      <w:r>
        <w:t xml:space="preserve">One-way </w:t>
      </w:r>
      <w:proofErr w:type="spellStart"/>
      <w:r>
        <w:t>anova</w:t>
      </w:r>
      <w:proofErr w:type="spellEnd"/>
      <w:r>
        <w:t xml:space="preserve"> also assumes that your data are homoscedastic, meaning the standard deviations are equal in the groups. You should examine the standard deviations in the different groups and see if there are big differences among them. </w:t>
      </w:r>
    </w:p>
    <w:p w:rsidR="002172C0" w:rsidRDefault="002172C0" w:rsidP="002172C0">
      <w:pPr>
        <w:pStyle w:val="NoSpacing"/>
      </w:pPr>
    </w:p>
    <w:p w:rsidR="002172C0" w:rsidRDefault="002172C0" w:rsidP="002172C0">
      <w:pPr>
        <w:pStyle w:val="NoSpacing"/>
      </w:pPr>
    </w:p>
    <w:p w:rsidR="002172C0" w:rsidRPr="00392844" w:rsidRDefault="002172C0" w:rsidP="002172C0">
      <w:pPr>
        <w:pStyle w:val="NoSpacing"/>
        <w:numPr>
          <w:ilvl w:val="0"/>
          <w:numId w:val="2"/>
        </w:numPr>
        <w:rPr>
          <w:i/>
        </w:rPr>
      </w:pPr>
      <w:r w:rsidRPr="00392844">
        <w:rPr>
          <w:i/>
        </w:rPr>
        <w:t xml:space="preserve">Using the </w:t>
      </w:r>
      <w:r w:rsidR="005A2174">
        <w:rPr>
          <w:i/>
        </w:rPr>
        <w:t>AAM</w:t>
      </w:r>
      <w:r w:rsidRPr="00392844">
        <w:rPr>
          <w:i/>
        </w:rPr>
        <w:t xml:space="preserve"> data from above, what </w:t>
      </w:r>
      <w:r w:rsidR="00392844" w:rsidRPr="00392844">
        <w:rPr>
          <w:i/>
        </w:rPr>
        <w:t>do you observe about the standard deviations:</w:t>
      </w:r>
    </w:p>
    <w:p w:rsidR="00392844" w:rsidRPr="00392844" w:rsidRDefault="00392844" w:rsidP="00392844">
      <w:pPr>
        <w:pStyle w:val="NoSpacing"/>
        <w:rPr>
          <w:i/>
        </w:rPr>
      </w:pPr>
    </w:p>
    <w:p w:rsidR="00392844" w:rsidRDefault="00392844" w:rsidP="00392844">
      <w:pPr>
        <w:pStyle w:val="NoSpacing"/>
      </w:pPr>
    </w:p>
    <w:p w:rsidR="00392844" w:rsidRDefault="00392844" w:rsidP="00392844">
      <w:pPr>
        <w:pStyle w:val="NoSpacing"/>
      </w:pPr>
    </w:p>
    <w:p w:rsidR="00392844" w:rsidRDefault="00392844" w:rsidP="00392844">
      <w:pPr>
        <w:pStyle w:val="NoSpacing"/>
      </w:pPr>
    </w:p>
    <w:p w:rsidR="00392844" w:rsidRDefault="00392844" w:rsidP="00392844">
      <w:pPr>
        <w:pStyle w:val="NoSpacing"/>
      </w:pPr>
    </w:p>
    <w:p w:rsidR="002172C0" w:rsidRDefault="002172C0" w:rsidP="002172C0">
      <w:pPr>
        <w:pStyle w:val="NoSpacing"/>
      </w:pPr>
    </w:p>
    <w:p w:rsidR="002172C0" w:rsidRDefault="002172C0" w:rsidP="002172C0">
      <w:pPr>
        <w:pStyle w:val="NoSpacing"/>
      </w:pPr>
    </w:p>
    <w:p w:rsidR="00392844" w:rsidRDefault="00392844" w:rsidP="002172C0">
      <w:pPr>
        <w:pStyle w:val="NoSpacing"/>
      </w:pPr>
      <w:r w:rsidRPr="00392844">
        <w:rPr>
          <w:b/>
          <w:u w:val="single"/>
        </w:rPr>
        <w:t xml:space="preserve">What happens if I don’t meet the assumptions to conduct a one-way </w:t>
      </w:r>
      <w:proofErr w:type="spellStart"/>
      <w:r w:rsidRPr="00392844">
        <w:rPr>
          <w:b/>
          <w:u w:val="single"/>
        </w:rPr>
        <w:t>anova</w:t>
      </w:r>
      <w:proofErr w:type="spellEnd"/>
      <w:r w:rsidRPr="00392844">
        <w:rPr>
          <w:b/>
          <w:u w:val="single"/>
        </w:rPr>
        <w:t>?</w:t>
      </w:r>
      <w:r>
        <w:t xml:space="preserve"> </w:t>
      </w:r>
    </w:p>
    <w:p w:rsidR="002172C0" w:rsidRDefault="002172C0" w:rsidP="002172C0">
      <w:pPr>
        <w:pStyle w:val="NoSpacing"/>
      </w:pPr>
      <w:r>
        <w:t xml:space="preserve">You should try really hard to have equal sample sizes in all of your groups. With a balanced design, you can safely use a one-way </w:t>
      </w:r>
      <w:proofErr w:type="spellStart"/>
      <w:r>
        <w:t>anova</w:t>
      </w:r>
      <w:proofErr w:type="spellEnd"/>
      <w:r>
        <w:t xml:space="preserve"> unless the sample sizes per group are less than 10 and the standard deviations vary by threefold or more. If you have a balanced design with small sample sizes and very large variation in the standard deviations, you should use Welch's </w:t>
      </w:r>
      <w:proofErr w:type="spellStart"/>
      <w:r>
        <w:t>anova</w:t>
      </w:r>
      <w:proofErr w:type="spellEnd"/>
      <w:r>
        <w:t xml:space="preserve"> instead. </w:t>
      </w:r>
      <w:r w:rsidR="00392844">
        <w:t xml:space="preserve">We’ll save this for graduate school. </w:t>
      </w:r>
      <w:r>
        <w:t xml:space="preserve">If you have an unbalanced design, you should carefully examine the standard deviations. Unless the standard deviations are very similar, you should probably use Welch's </w:t>
      </w:r>
      <w:proofErr w:type="spellStart"/>
      <w:r>
        <w:t>anova</w:t>
      </w:r>
      <w:proofErr w:type="spellEnd"/>
      <w:r>
        <w:t xml:space="preserve">. It is less powerful than one-way </w:t>
      </w:r>
      <w:proofErr w:type="spellStart"/>
      <w:r>
        <w:t>anova</w:t>
      </w:r>
      <w:proofErr w:type="spellEnd"/>
      <w:r>
        <w:t xml:space="preserve"> for </w:t>
      </w:r>
      <w:r>
        <w:lastRenderedPageBreak/>
        <w:t>homoscedastic data, but it can be much more accurate for heteroscedastic data from an unbalanced design.</w:t>
      </w:r>
    </w:p>
    <w:p w:rsidR="00392844" w:rsidRDefault="00392844" w:rsidP="002172C0">
      <w:pPr>
        <w:pStyle w:val="NoSpacing"/>
      </w:pPr>
    </w:p>
    <w:p w:rsidR="00392844" w:rsidRDefault="00392844" w:rsidP="002172C0">
      <w:pPr>
        <w:pStyle w:val="NoSpacing"/>
      </w:pPr>
    </w:p>
    <w:p w:rsidR="007F7E77" w:rsidRDefault="007F7E77" w:rsidP="002172C0">
      <w:pPr>
        <w:pStyle w:val="NoSpacing"/>
        <w:rPr>
          <w:b/>
          <w:u w:val="single"/>
        </w:rPr>
      </w:pPr>
      <w:bookmarkStart w:id="0" w:name="_GoBack"/>
      <w:bookmarkEnd w:id="0"/>
    </w:p>
    <w:p w:rsidR="00392844" w:rsidRDefault="00ED5C08" w:rsidP="002172C0">
      <w:pPr>
        <w:pStyle w:val="NoSpacing"/>
        <w:rPr>
          <w:b/>
          <w:u w:val="single"/>
        </w:rPr>
      </w:pPr>
      <w:r>
        <w:rPr>
          <w:b/>
          <w:u w:val="single"/>
        </w:rPr>
        <w:t xml:space="preserve">One-way </w:t>
      </w:r>
      <w:proofErr w:type="spellStart"/>
      <w:r>
        <w:rPr>
          <w:b/>
          <w:u w:val="single"/>
        </w:rPr>
        <w:t>anova</w:t>
      </w:r>
      <w:proofErr w:type="spellEnd"/>
      <w:r>
        <w:rPr>
          <w:b/>
          <w:u w:val="single"/>
        </w:rPr>
        <w:t xml:space="preserve"> guided practice</w:t>
      </w:r>
    </w:p>
    <w:p w:rsidR="00392844" w:rsidRDefault="00392844" w:rsidP="002172C0">
      <w:pPr>
        <w:pStyle w:val="NoSpacing"/>
        <w:rPr>
          <w:b/>
          <w:u w:val="single"/>
        </w:rPr>
      </w:pPr>
    </w:p>
    <w:tbl>
      <w:tblPr>
        <w:tblStyle w:val="TableGrid"/>
        <w:tblW w:w="0" w:type="auto"/>
        <w:tblLayout w:type="fixed"/>
        <w:tblLook w:val="04A0" w:firstRow="1" w:lastRow="0" w:firstColumn="1" w:lastColumn="0" w:noHBand="0" w:noVBand="1"/>
      </w:tblPr>
      <w:tblGrid>
        <w:gridCol w:w="648"/>
        <w:gridCol w:w="1530"/>
        <w:gridCol w:w="1530"/>
        <w:gridCol w:w="1530"/>
        <w:gridCol w:w="1440"/>
        <w:gridCol w:w="1440"/>
      </w:tblGrid>
      <w:tr w:rsidR="00ED5C08" w:rsidRPr="00215DE5" w:rsidTr="0075614E">
        <w:tc>
          <w:tcPr>
            <w:tcW w:w="648" w:type="dxa"/>
          </w:tcPr>
          <w:p w:rsidR="00ED5C08" w:rsidRPr="00215DE5" w:rsidRDefault="00ED5C08" w:rsidP="00ED5C08">
            <w:pPr>
              <w:pStyle w:val="NoSpacing"/>
            </w:pPr>
          </w:p>
        </w:tc>
        <w:tc>
          <w:tcPr>
            <w:tcW w:w="1530" w:type="dxa"/>
            <w:hideMark/>
          </w:tcPr>
          <w:p w:rsidR="00ED5C08" w:rsidRPr="00215DE5" w:rsidRDefault="00ED5C08" w:rsidP="00ED5C08">
            <w:pPr>
              <w:pStyle w:val="NoSpacing"/>
            </w:pPr>
          </w:p>
          <w:p w:rsidR="00ED5C08" w:rsidRPr="00215DE5" w:rsidRDefault="00ED5C08" w:rsidP="00ED5C08">
            <w:pPr>
              <w:pStyle w:val="NoSpacing"/>
            </w:pPr>
            <w:r w:rsidRPr="00215DE5">
              <w:t>Tillamook</w:t>
            </w:r>
          </w:p>
        </w:tc>
        <w:tc>
          <w:tcPr>
            <w:tcW w:w="1530" w:type="dxa"/>
            <w:hideMark/>
          </w:tcPr>
          <w:p w:rsidR="00ED5C08" w:rsidRPr="00215DE5" w:rsidRDefault="00ED5C08" w:rsidP="00ED5C08">
            <w:pPr>
              <w:pStyle w:val="NoSpacing"/>
            </w:pPr>
          </w:p>
          <w:p w:rsidR="00ED5C08" w:rsidRPr="00215DE5" w:rsidRDefault="00ED5C08" w:rsidP="00ED5C08">
            <w:pPr>
              <w:pStyle w:val="NoSpacing"/>
            </w:pPr>
            <w:r w:rsidRPr="00215DE5">
              <w:t>Newport</w:t>
            </w:r>
          </w:p>
        </w:tc>
        <w:tc>
          <w:tcPr>
            <w:tcW w:w="1530" w:type="dxa"/>
            <w:hideMark/>
          </w:tcPr>
          <w:p w:rsidR="00ED5C08" w:rsidRPr="00215DE5" w:rsidRDefault="00ED5C08" w:rsidP="00ED5C08">
            <w:pPr>
              <w:pStyle w:val="NoSpacing"/>
            </w:pPr>
          </w:p>
          <w:p w:rsidR="00ED5C08" w:rsidRPr="00215DE5" w:rsidRDefault="00ED5C08" w:rsidP="00ED5C08">
            <w:pPr>
              <w:pStyle w:val="NoSpacing"/>
            </w:pPr>
            <w:r w:rsidRPr="00215DE5">
              <w:t>Petersburg</w:t>
            </w:r>
          </w:p>
        </w:tc>
        <w:tc>
          <w:tcPr>
            <w:tcW w:w="1440" w:type="dxa"/>
            <w:hideMark/>
          </w:tcPr>
          <w:p w:rsidR="00ED5C08" w:rsidRPr="00215DE5" w:rsidRDefault="00ED5C08" w:rsidP="00ED5C08">
            <w:pPr>
              <w:pStyle w:val="NoSpacing"/>
            </w:pPr>
          </w:p>
          <w:p w:rsidR="00ED5C08" w:rsidRPr="00215DE5" w:rsidRDefault="00ED5C08" w:rsidP="00ED5C08">
            <w:pPr>
              <w:pStyle w:val="NoSpacing"/>
            </w:pPr>
            <w:r w:rsidRPr="00215DE5">
              <w:t>Magadan</w:t>
            </w:r>
          </w:p>
        </w:tc>
        <w:tc>
          <w:tcPr>
            <w:tcW w:w="1440" w:type="dxa"/>
            <w:hideMark/>
          </w:tcPr>
          <w:p w:rsidR="00ED5C08" w:rsidRPr="00215DE5" w:rsidRDefault="00ED5C08" w:rsidP="00ED5C08">
            <w:pPr>
              <w:pStyle w:val="NoSpacing"/>
            </w:pPr>
          </w:p>
          <w:p w:rsidR="00ED5C08" w:rsidRPr="00215DE5" w:rsidRDefault="00ED5C08" w:rsidP="00ED5C08">
            <w:pPr>
              <w:pStyle w:val="NoSpacing"/>
            </w:pPr>
            <w:proofErr w:type="spellStart"/>
            <w:r w:rsidRPr="00215DE5">
              <w:t>Tvarminne</w:t>
            </w:r>
            <w:proofErr w:type="spellEnd"/>
          </w:p>
        </w:tc>
      </w:tr>
      <w:tr w:rsidR="00ED5C08" w:rsidRPr="00215DE5" w:rsidTr="0075614E">
        <w:tc>
          <w:tcPr>
            <w:tcW w:w="648" w:type="dxa"/>
          </w:tcPr>
          <w:p w:rsidR="00ED5C08" w:rsidRPr="00215DE5" w:rsidRDefault="00ED5C08" w:rsidP="00ED5C08">
            <w:pPr>
              <w:pStyle w:val="NoSpacing"/>
            </w:pPr>
          </w:p>
        </w:tc>
        <w:tc>
          <w:tcPr>
            <w:tcW w:w="1530" w:type="dxa"/>
            <w:hideMark/>
          </w:tcPr>
          <w:p w:rsidR="00ED5C08" w:rsidRPr="00215DE5" w:rsidRDefault="00ED5C08" w:rsidP="00ED5C08">
            <w:pPr>
              <w:pStyle w:val="NoSpacing"/>
            </w:pPr>
            <w:r w:rsidRPr="00215DE5">
              <w:t>0.0571</w:t>
            </w:r>
          </w:p>
        </w:tc>
        <w:tc>
          <w:tcPr>
            <w:tcW w:w="1530" w:type="dxa"/>
            <w:hideMark/>
          </w:tcPr>
          <w:p w:rsidR="00ED5C08" w:rsidRPr="00215DE5" w:rsidRDefault="00ED5C08" w:rsidP="00ED5C08">
            <w:pPr>
              <w:pStyle w:val="NoSpacing"/>
            </w:pPr>
            <w:r w:rsidRPr="00215DE5">
              <w:t>0.0873</w:t>
            </w:r>
          </w:p>
        </w:tc>
        <w:tc>
          <w:tcPr>
            <w:tcW w:w="1530" w:type="dxa"/>
            <w:hideMark/>
          </w:tcPr>
          <w:p w:rsidR="00ED5C08" w:rsidRPr="00215DE5" w:rsidRDefault="00ED5C08" w:rsidP="00ED5C08">
            <w:pPr>
              <w:pStyle w:val="NoSpacing"/>
            </w:pPr>
            <w:r w:rsidRPr="00215DE5">
              <w:t>0.0974</w:t>
            </w:r>
          </w:p>
        </w:tc>
        <w:tc>
          <w:tcPr>
            <w:tcW w:w="1440" w:type="dxa"/>
            <w:hideMark/>
          </w:tcPr>
          <w:p w:rsidR="00ED5C08" w:rsidRPr="00215DE5" w:rsidRDefault="00ED5C08" w:rsidP="00ED5C08">
            <w:pPr>
              <w:pStyle w:val="NoSpacing"/>
            </w:pPr>
            <w:r w:rsidRPr="00215DE5">
              <w:t>0.1033</w:t>
            </w:r>
          </w:p>
        </w:tc>
        <w:tc>
          <w:tcPr>
            <w:tcW w:w="1440" w:type="dxa"/>
            <w:hideMark/>
          </w:tcPr>
          <w:p w:rsidR="00ED5C08" w:rsidRPr="00215DE5" w:rsidRDefault="00ED5C08" w:rsidP="00ED5C08">
            <w:pPr>
              <w:pStyle w:val="NoSpacing"/>
            </w:pPr>
            <w:r w:rsidRPr="00215DE5">
              <w:t>0.0703</w:t>
            </w:r>
          </w:p>
        </w:tc>
      </w:tr>
      <w:tr w:rsidR="00ED5C08" w:rsidRPr="00215DE5" w:rsidTr="0075614E">
        <w:tc>
          <w:tcPr>
            <w:tcW w:w="648" w:type="dxa"/>
          </w:tcPr>
          <w:p w:rsidR="00ED5C08" w:rsidRPr="00215DE5" w:rsidRDefault="00ED5C08" w:rsidP="00ED5C08">
            <w:pPr>
              <w:pStyle w:val="NoSpacing"/>
            </w:pPr>
          </w:p>
        </w:tc>
        <w:tc>
          <w:tcPr>
            <w:tcW w:w="1530" w:type="dxa"/>
            <w:hideMark/>
          </w:tcPr>
          <w:p w:rsidR="00ED5C08" w:rsidRPr="00215DE5" w:rsidRDefault="00ED5C08" w:rsidP="00ED5C08">
            <w:pPr>
              <w:pStyle w:val="NoSpacing"/>
            </w:pPr>
            <w:r w:rsidRPr="00215DE5">
              <w:t>0.0813</w:t>
            </w:r>
          </w:p>
        </w:tc>
        <w:tc>
          <w:tcPr>
            <w:tcW w:w="1530" w:type="dxa"/>
            <w:hideMark/>
          </w:tcPr>
          <w:p w:rsidR="00ED5C08" w:rsidRPr="00215DE5" w:rsidRDefault="00ED5C08" w:rsidP="00ED5C08">
            <w:pPr>
              <w:pStyle w:val="NoSpacing"/>
            </w:pPr>
            <w:r w:rsidRPr="00215DE5">
              <w:t>0.0662</w:t>
            </w:r>
          </w:p>
        </w:tc>
        <w:tc>
          <w:tcPr>
            <w:tcW w:w="1530" w:type="dxa"/>
            <w:hideMark/>
          </w:tcPr>
          <w:p w:rsidR="00ED5C08" w:rsidRPr="00215DE5" w:rsidRDefault="00ED5C08" w:rsidP="00ED5C08">
            <w:pPr>
              <w:pStyle w:val="NoSpacing"/>
            </w:pPr>
            <w:r w:rsidRPr="00215DE5">
              <w:t>0.1352</w:t>
            </w:r>
          </w:p>
        </w:tc>
        <w:tc>
          <w:tcPr>
            <w:tcW w:w="1440" w:type="dxa"/>
            <w:hideMark/>
          </w:tcPr>
          <w:p w:rsidR="00ED5C08" w:rsidRPr="00215DE5" w:rsidRDefault="00ED5C08" w:rsidP="00ED5C08">
            <w:pPr>
              <w:pStyle w:val="NoSpacing"/>
            </w:pPr>
            <w:r w:rsidRPr="00215DE5">
              <w:t>0.0915</w:t>
            </w:r>
          </w:p>
        </w:tc>
        <w:tc>
          <w:tcPr>
            <w:tcW w:w="1440" w:type="dxa"/>
            <w:hideMark/>
          </w:tcPr>
          <w:p w:rsidR="00ED5C08" w:rsidRPr="00215DE5" w:rsidRDefault="00ED5C08" w:rsidP="00ED5C08">
            <w:pPr>
              <w:pStyle w:val="NoSpacing"/>
            </w:pPr>
            <w:r w:rsidRPr="00215DE5">
              <w:t>0.1026</w:t>
            </w:r>
          </w:p>
        </w:tc>
      </w:tr>
      <w:tr w:rsidR="00ED5C08" w:rsidRPr="00215DE5" w:rsidTr="0075614E">
        <w:tc>
          <w:tcPr>
            <w:tcW w:w="648" w:type="dxa"/>
          </w:tcPr>
          <w:p w:rsidR="00ED5C08" w:rsidRPr="00215DE5" w:rsidRDefault="00ED5C08" w:rsidP="00ED5C08">
            <w:pPr>
              <w:pStyle w:val="NoSpacing"/>
            </w:pPr>
          </w:p>
        </w:tc>
        <w:tc>
          <w:tcPr>
            <w:tcW w:w="1530" w:type="dxa"/>
            <w:hideMark/>
          </w:tcPr>
          <w:p w:rsidR="00ED5C08" w:rsidRPr="00215DE5" w:rsidRDefault="00ED5C08" w:rsidP="00ED5C08">
            <w:pPr>
              <w:pStyle w:val="NoSpacing"/>
            </w:pPr>
            <w:r w:rsidRPr="00215DE5">
              <w:t>0.0831</w:t>
            </w:r>
          </w:p>
        </w:tc>
        <w:tc>
          <w:tcPr>
            <w:tcW w:w="1530" w:type="dxa"/>
            <w:hideMark/>
          </w:tcPr>
          <w:p w:rsidR="00ED5C08" w:rsidRPr="00215DE5" w:rsidRDefault="00ED5C08" w:rsidP="00ED5C08">
            <w:pPr>
              <w:pStyle w:val="NoSpacing"/>
            </w:pPr>
            <w:r w:rsidRPr="00215DE5">
              <w:t>0.0672</w:t>
            </w:r>
          </w:p>
        </w:tc>
        <w:tc>
          <w:tcPr>
            <w:tcW w:w="1530" w:type="dxa"/>
            <w:hideMark/>
          </w:tcPr>
          <w:p w:rsidR="00ED5C08" w:rsidRPr="00215DE5" w:rsidRDefault="00ED5C08" w:rsidP="00ED5C08">
            <w:pPr>
              <w:pStyle w:val="NoSpacing"/>
            </w:pPr>
            <w:r w:rsidRPr="00215DE5">
              <w:t>0.0817</w:t>
            </w:r>
          </w:p>
        </w:tc>
        <w:tc>
          <w:tcPr>
            <w:tcW w:w="1440" w:type="dxa"/>
            <w:hideMark/>
          </w:tcPr>
          <w:p w:rsidR="00ED5C08" w:rsidRPr="00215DE5" w:rsidRDefault="00ED5C08" w:rsidP="00ED5C08">
            <w:pPr>
              <w:pStyle w:val="NoSpacing"/>
            </w:pPr>
            <w:r w:rsidRPr="00215DE5">
              <w:t>0.0781</w:t>
            </w:r>
          </w:p>
        </w:tc>
        <w:tc>
          <w:tcPr>
            <w:tcW w:w="1440" w:type="dxa"/>
            <w:hideMark/>
          </w:tcPr>
          <w:p w:rsidR="00ED5C08" w:rsidRPr="00215DE5" w:rsidRDefault="00ED5C08" w:rsidP="00ED5C08">
            <w:pPr>
              <w:pStyle w:val="NoSpacing"/>
            </w:pPr>
            <w:r w:rsidRPr="00215DE5">
              <w:t>0.0956</w:t>
            </w:r>
          </w:p>
        </w:tc>
      </w:tr>
      <w:tr w:rsidR="00ED5C08" w:rsidRPr="00215DE5" w:rsidTr="0075614E">
        <w:tc>
          <w:tcPr>
            <w:tcW w:w="648" w:type="dxa"/>
          </w:tcPr>
          <w:p w:rsidR="00ED5C08" w:rsidRPr="00215DE5" w:rsidRDefault="00ED5C08" w:rsidP="00ED5C08">
            <w:pPr>
              <w:pStyle w:val="NoSpacing"/>
            </w:pPr>
          </w:p>
        </w:tc>
        <w:tc>
          <w:tcPr>
            <w:tcW w:w="1530" w:type="dxa"/>
            <w:hideMark/>
          </w:tcPr>
          <w:p w:rsidR="00ED5C08" w:rsidRPr="00215DE5" w:rsidRDefault="00ED5C08" w:rsidP="00ED5C08">
            <w:pPr>
              <w:pStyle w:val="NoSpacing"/>
            </w:pPr>
            <w:r w:rsidRPr="00215DE5">
              <w:t>0.0976</w:t>
            </w:r>
          </w:p>
        </w:tc>
        <w:tc>
          <w:tcPr>
            <w:tcW w:w="1530" w:type="dxa"/>
            <w:hideMark/>
          </w:tcPr>
          <w:p w:rsidR="00ED5C08" w:rsidRPr="00215DE5" w:rsidRDefault="00ED5C08" w:rsidP="00ED5C08">
            <w:pPr>
              <w:pStyle w:val="NoSpacing"/>
            </w:pPr>
            <w:r w:rsidRPr="00215DE5">
              <w:t>0.0819</w:t>
            </w:r>
          </w:p>
        </w:tc>
        <w:tc>
          <w:tcPr>
            <w:tcW w:w="1530" w:type="dxa"/>
            <w:hideMark/>
          </w:tcPr>
          <w:p w:rsidR="00ED5C08" w:rsidRPr="00215DE5" w:rsidRDefault="00ED5C08" w:rsidP="00ED5C08">
            <w:pPr>
              <w:pStyle w:val="NoSpacing"/>
            </w:pPr>
            <w:r w:rsidRPr="00215DE5">
              <w:t>0.1016</w:t>
            </w:r>
          </w:p>
        </w:tc>
        <w:tc>
          <w:tcPr>
            <w:tcW w:w="1440" w:type="dxa"/>
            <w:hideMark/>
          </w:tcPr>
          <w:p w:rsidR="00ED5C08" w:rsidRPr="00215DE5" w:rsidRDefault="00ED5C08" w:rsidP="00ED5C08">
            <w:pPr>
              <w:pStyle w:val="NoSpacing"/>
            </w:pPr>
            <w:r w:rsidRPr="00215DE5">
              <w:t>0.0685</w:t>
            </w:r>
          </w:p>
        </w:tc>
        <w:tc>
          <w:tcPr>
            <w:tcW w:w="1440" w:type="dxa"/>
            <w:hideMark/>
          </w:tcPr>
          <w:p w:rsidR="00ED5C08" w:rsidRPr="00215DE5" w:rsidRDefault="00ED5C08" w:rsidP="00ED5C08">
            <w:pPr>
              <w:pStyle w:val="NoSpacing"/>
            </w:pPr>
            <w:r w:rsidRPr="00215DE5">
              <w:t>0.0973</w:t>
            </w:r>
          </w:p>
        </w:tc>
      </w:tr>
      <w:tr w:rsidR="00ED5C08" w:rsidRPr="00215DE5" w:rsidTr="0075614E">
        <w:tc>
          <w:tcPr>
            <w:tcW w:w="648" w:type="dxa"/>
          </w:tcPr>
          <w:p w:rsidR="00ED5C08" w:rsidRPr="00215DE5" w:rsidRDefault="00ED5C08" w:rsidP="00ED5C08">
            <w:pPr>
              <w:pStyle w:val="NoSpacing"/>
            </w:pPr>
          </w:p>
        </w:tc>
        <w:tc>
          <w:tcPr>
            <w:tcW w:w="1530" w:type="dxa"/>
            <w:hideMark/>
          </w:tcPr>
          <w:p w:rsidR="00ED5C08" w:rsidRPr="00215DE5" w:rsidRDefault="00ED5C08" w:rsidP="00ED5C08">
            <w:pPr>
              <w:pStyle w:val="NoSpacing"/>
            </w:pPr>
            <w:r w:rsidRPr="00215DE5">
              <w:t>0.0817</w:t>
            </w:r>
          </w:p>
        </w:tc>
        <w:tc>
          <w:tcPr>
            <w:tcW w:w="1530" w:type="dxa"/>
            <w:hideMark/>
          </w:tcPr>
          <w:p w:rsidR="00ED5C08" w:rsidRPr="00215DE5" w:rsidRDefault="00ED5C08" w:rsidP="00ED5C08">
            <w:pPr>
              <w:pStyle w:val="NoSpacing"/>
            </w:pPr>
            <w:r w:rsidRPr="00215DE5">
              <w:t>0.0749</w:t>
            </w:r>
          </w:p>
        </w:tc>
        <w:tc>
          <w:tcPr>
            <w:tcW w:w="1530" w:type="dxa"/>
            <w:hideMark/>
          </w:tcPr>
          <w:p w:rsidR="00ED5C08" w:rsidRPr="00215DE5" w:rsidRDefault="00ED5C08" w:rsidP="00ED5C08">
            <w:pPr>
              <w:pStyle w:val="NoSpacing"/>
            </w:pPr>
            <w:r w:rsidRPr="00215DE5">
              <w:t>0.0968</w:t>
            </w:r>
          </w:p>
        </w:tc>
        <w:tc>
          <w:tcPr>
            <w:tcW w:w="1440" w:type="dxa"/>
            <w:hideMark/>
          </w:tcPr>
          <w:p w:rsidR="00ED5C08" w:rsidRPr="00215DE5" w:rsidRDefault="00ED5C08" w:rsidP="00ED5C08">
            <w:pPr>
              <w:pStyle w:val="NoSpacing"/>
            </w:pPr>
            <w:r w:rsidRPr="00215DE5">
              <w:t>0.0677</w:t>
            </w:r>
          </w:p>
        </w:tc>
        <w:tc>
          <w:tcPr>
            <w:tcW w:w="1440" w:type="dxa"/>
            <w:hideMark/>
          </w:tcPr>
          <w:p w:rsidR="00ED5C08" w:rsidRPr="00215DE5" w:rsidRDefault="00ED5C08" w:rsidP="00ED5C08">
            <w:pPr>
              <w:pStyle w:val="NoSpacing"/>
            </w:pPr>
            <w:r w:rsidRPr="00215DE5">
              <w:t>0.1039</w:t>
            </w:r>
          </w:p>
        </w:tc>
      </w:tr>
      <w:tr w:rsidR="00ED5C08" w:rsidRPr="00215DE5" w:rsidTr="0075614E">
        <w:tc>
          <w:tcPr>
            <w:tcW w:w="648" w:type="dxa"/>
          </w:tcPr>
          <w:p w:rsidR="00ED5C08" w:rsidRPr="00215DE5" w:rsidRDefault="00ED5C08" w:rsidP="00ED5C08">
            <w:pPr>
              <w:pStyle w:val="NoSpacing"/>
            </w:pPr>
          </w:p>
        </w:tc>
        <w:tc>
          <w:tcPr>
            <w:tcW w:w="1530" w:type="dxa"/>
            <w:hideMark/>
          </w:tcPr>
          <w:p w:rsidR="00ED5C08" w:rsidRPr="00215DE5" w:rsidRDefault="00ED5C08" w:rsidP="00ED5C08">
            <w:pPr>
              <w:pStyle w:val="NoSpacing"/>
            </w:pPr>
            <w:r w:rsidRPr="00215DE5">
              <w:t>0.0859</w:t>
            </w:r>
          </w:p>
        </w:tc>
        <w:tc>
          <w:tcPr>
            <w:tcW w:w="1530" w:type="dxa"/>
            <w:hideMark/>
          </w:tcPr>
          <w:p w:rsidR="00ED5C08" w:rsidRPr="00215DE5" w:rsidRDefault="00ED5C08" w:rsidP="00ED5C08">
            <w:pPr>
              <w:pStyle w:val="NoSpacing"/>
            </w:pPr>
            <w:r w:rsidRPr="00215DE5">
              <w:t>0.0649</w:t>
            </w:r>
          </w:p>
        </w:tc>
        <w:tc>
          <w:tcPr>
            <w:tcW w:w="1530" w:type="dxa"/>
            <w:hideMark/>
          </w:tcPr>
          <w:p w:rsidR="00ED5C08" w:rsidRPr="00215DE5" w:rsidRDefault="00ED5C08" w:rsidP="00ED5C08">
            <w:pPr>
              <w:pStyle w:val="NoSpacing"/>
            </w:pPr>
            <w:r w:rsidRPr="00215DE5">
              <w:t>0.1064</w:t>
            </w:r>
          </w:p>
        </w:tc>
        <w:tc>
          <w:tcPr>
            <w:tcW w:w="1440" w:type="dxa"/>
            <w:hideMark/>
          </w:tcPr>
          <w:p w:rsidR="00ED5C08" w:rsidRPr="00215DE5" w:rsidRDefault="00ED5C08" w:rsidP="00ED5C08">
            <w:pPr>
              <w:pStyle w:val="NoSpacing"/>
            </w:pPr>
            <w:r w:rsidRPr="00215DE5">
              <w:t>0.0697</w:t>
            </w:r>
          </w:p>
        </w:tc>
        <w:tc>
          <w:tcPr>
            <w:tcW w:w="1440" w:type="dxa"/>
            <w:hideMark/>
          </w:tcPr>
          <w:p w:rsidR="00ED5C08" w:rsidRPr="00215DE5" w:rsidRDefault="00ED5C08" w:rsidP="00ED5C08">
            <w:pPr>
              <w:pStyle w:val="NoSpacing"/>
            </w:pPr>
            <w:r w:rsidRPr="00215DE5">
              <w:t>0.1045</w:t>
            </w:r>
          </w:p>
        </w:tc>
      </w:tr>
      <w:tr w:rsidR="00ED5C08" w:rsidRPr="00215DE5" w:rsidTr="0075614E">
        <w:tc>
          <w:tcPr>
            <w:tcW w:w="648" w:type="dxa"/>
          </w:tcPr>
          <w:p w:rsidR="00ED5C08" w:rsidRPr="00215DE5" w:rsidRDefault="00ED5C08" w:rsidP="00ED5C08">
            <w:pPr>
              <w:pStyle w:val="NoSpacing"/>
            </w:pPr>
          </w:p>
        </w:tc>
        <w:tc>
          <w:tcPr>
            <w:tcW w:w="1530" w:type="dxa"/>
            <w:hideMark/>
          </w:tcPr>
          <w:p w:rsidR="00ED5C08" w:rsidRPr="00215DE5" w:rsidRDefault="00ED5C08" w:rsidP="00ED5C08">
            <w:pPr>
              <w:pStyle w:val="NoSpacing"/>
            </w:pPr>
            <w:r w:rsidRPr="00215DE5">
              <w:t>0.0735</w:t>
            </w:r>
          </w:p>
        </w:tc>
        <w:tc>
          <w:tcPr>
            <w:tcW w:w="1530" w:type="dxa"/>
            <w:hideMark/>
          </w:tcPr>
          <w:p w:rsidR="00ED5C08" w:rsidRPr="00215DE5" w:rsidRDefault="00ED5C08" w:rsidP="00ED5C08">
            <w:pPr>
              <w:pStyle w:val="NoSpacing"/>
            </w:pPr>
            <w:r w:rsidRPr="00215DE5">
              <w:t>0.0835</w:t>
            </w:r>
          </w:p>
        </w:tc>
        <w:tc>
          <w:tcPr>
            <w:tcW w:w="1530" w:type="dxa"/>
            <w:hideMark/>
          </w:tcPr>
          <w:p w:rsidR="00ED5C08" w:rsidRPr="00215DE5" w:rsidRDefault="00ED5C08" w:rsidP="00ED5C08">
            <w:pPr>
              <w:pStyle w:val="NoSpacing"/>
            </w:pPr>
            <w:r w:rsidRPr="00215DE5">
              <w:t>0.105</w:t>
            </w:r>
          </w:p>
        </w:tc>
        <w:tc>
          <w:tcPr>
            <w:tcW w:w="1440" w:type="dxa"/>
            <w:hideMark/>
          </w:tcPr>
          <w:p w:rsidR="00ED5C08" w:rsidRPr="00215DE5" w:rsidRDefault="00ED5C08" w:rsidP="00ED5C08">
            <w:pPr>
              <w:pStyle w:val="NoSpacing"/>
            </w:pPr>
            <w:r w:rsidRPr="00215DE5">
              <w:t>0.0764</w:t>
            </w:r>
          </w:p>
        </w:tc>
        <w:tc>
          <w:tcPr>
            <w:tcW w:w="1440" w:type="dxa"/>
            <w:hideMark/>
          </w:tcPr>
          <w:p w:rsidR="00ED5C08" w:rsidRPr="00215DE5" w:rsidRDefault="00ED5C08" w:rsidP="00ED5C08">
            <w:pPr>
              <w:pStyle w:val="NoSpacing"/>
            </w:pPr>
            <w:r w:rsidRPr="00215DE5">
              <w:t> </w:t>
            </w:r>
          </w:p>
        </w:tc>
      </w:tr>
      <w:tr w:rsidR="00ED5C08" w:rsidRPr="00215DE5" w:rsidTr="0075614E">
        <w:tc>
          <w:tcPr>
            <w:tcW w:w="648" w:type="dxa"/>
          </w:tcPr>
          <w:p w:rsidR="00ED5C08" w:rsidRPr="00215DE5" w:rsidRDefault="00ED5C08" w:rsidP="00ED5C08">
            <w:pPr>
              <w:pStyle w:val="NoSpacing"/>
            </w:pPr>
          </w:p>
        </w:tc>
        <w:tc>
          <w:tcPr>
            <w:tcW w:w="1530" w:type="dxa"/>
            <w:hideMark/>
          </w:tcPr>
          <w:p w:rsidR="00ED5C08" w:rsidRPr="00215DE5" w:rsidRDefault="00ED5C08" w:rsidP="00ED5C08">
            <w:pPr>
              <w:pStyle w:val="NoSpacing"/>
            </w:pPr>
            <w:r w:rsidRPr="00215DE5">
              <w:t>0.0659</w:t>
            </w:r>
          </w:p>
        </w:tc>
        <w:tc>
          <w:tcPr>
            <w:tcW w:w="1530" w:type="dxa"/>
            <w:hideMark/>
          </w:tcPr>
          <w:p w:rsidR="00ED5C08" w:rsidRPr="00215DE5" w:rsidRDefault="00ED5C08" w:rsidP="00ED5C08">
            <w:pPr>
              <w:pStyle w:val="NoSpacing"/>
            </w:pPr>
            <w:r w:rsidRPr="00215DE5">
              <w:t>0.0725</w:t>
            </w:r>
          </w:p>
        </w:tc>
        <w:tc>
          <w:tcPr>
            <w:tcW w:w="1530" w:type="dxa"/>
            <w:hideMark/>
          </w:tcPr>
          <w:p w:rsidR="00ED5C08" w:rsidRPr="00215DE5" w:rsidRDefault="00ED5C08" w:rsidP="00ED5C08">
            <w:pPr>
              <w:pStyle w:val="NoSpacing"/>
            </w:pPr>
            <w:r w:rsidRPr="00215DE5">
              <w:t> </w:t>
            </w:r>
          </w:p>
        </w:tc>
        <w:tc>
          <w:tcPr>
            <w:tcW w:w="1440" w:type="dxa"/>
            <w:hideMark/>
          </w:tcPr>
          <w:p w:rsidR="00ED5C08" w:rsidRPr="00215DE5" w:rsidRDefault="00ED5C08" w:rsidP="00ED5C08">
            <w:pPr>
              <w:pStyle w:val="NoSpacing"/>
            </w:pPr>
            <w:r w:rsidRPr="00215DE5">
              <w:t>0.0689</w:t>
            </w:r>
          </w:p>
        </w:tc>
        <w:tc>
          <w:tcPr>
            <w:tcW w:w="1440" w:type="dxa"/>
            <w:hideMark/>
          </w:tcPr>
          <w:p w:rsidR="00ED5C08" w:rsidRPr="00215DE5" w:rsidRDefault="00ED5C08" w:rsidP="00ED5C08">
            <w:pPr>
              <w:pStyle w:val="NoSpacing"/>
            </w:pPr>
            <w:r w:rsidRPr="00215DE5">
              <w:t> </w:t>
            </w:r>
          </w:p>
        </w:tc>
      </w:tr>
      <w:tr w:rsidR="00ED5C08" w:rsidRPr="00215DE5" w:rsidTr="0075614E">
        <w:tc>
          <w:tcPr>
            <w:tcW w:w="648" w:type="dxa"/>
          </w:tcPr>
          <w:p w:rsidR="00ED5C08" w:rsidRPr="00215DE5" w:rsidRDefault="00ED5C08" w:rsidP="00ED5C08">
            <w:pPr>
              <w:pStyle w:val="NoSpacing"/>
            </w:pPr>
          </w:p>
        </w:tc>
        <w:tc>
          <w:tcPr>
            <w:tcW w:w="1530" w:type="dxa"/>
            <w:hideMark/>
          </w:tcPr>
          <w:p w:rsidR="00ED5C08" w:rsidRPr="00215DE5" w:rsidRDefault="00ED5C08" w:rsidP="00ED5C08">
            <w:pPr>
              <w:pStyle w:val="NoSpacing"/>
            </w:pPr>
            <w:r w:rsidRPr="00215DE5">
              <w:t>0.0923</w:t>
            </w:r>
          </w:p>
        </w:tc>
        <w:tc>
          <w:tcPr>
            <w:tcW w:w="1530" w:type="dxa"/>
            <w:hideMark/>
          </w:tcPr>
          <w:p w:rsidR="00ED5C08" w:rsidRPr="00215DE5" w:rsidRDefault="00ED5C08" w:rsidP="00ED5C08">
            <w:pPr>
              <w:pStyle w:val="NoSpacing"/>
            </w:pPr>
            <w:r w:rsidRPr="00215DE5">
              <w:t> </w:t>
            </w:r>
          </w:p>
        </w:tc>
        <w:tc>
          <w:tcPr>
            <w:tcW w:w="1530" w:type="dxa"/>
            <w:hideMark/>
          </w:tcPr>
          <w:p w:rsidR="00ED5C08" w:rsidRPr="00215DE5" w:rsidRDefault="00ED5C08" w:rsidP="00ED5C08">
            <w:pPr>
              <w:pStyle w:val="NoSpacing"/>
            </w:pPr>
            <w:r w:rsidRPr="00215DE5">
              <w:t> </w:t>
            </w:r>
          </w:p>
        </w:tc>
        <w:tc>
          <w:tcPr>
            <w:tcW w:w="1440" w:type="dxa"/>
            <w:hideMark/>
          </w:tcPr>
          <w:p w:rsidR="00ED5C08" w:rsidRPr="00215DE5" w:rsidRDefault="00ED5C08" w:rsidP="00ED5C08">
            <w:pPr>
              <w:pStyle w:val="NoSpacing"/>
            </w:pPr>
            <w:r w:rsidRPr="00215DE5">
              <w:t> </w:t>
            </w:r>
          </w:p>
        </w:tc>
        <w:tc>
          <w:tcPr>
            <w:tcW w:w="1440" w:type="dxa"/>
            <w:hideMark/>
          </w:tcPr>
          <w:p w:rsidR="00ED5C08" w:rsidRPr="00215DE5" w:rsidRDefault="00ED5C08" w:rsidP="00ED5C08">
            <w:pPr>
              <w:pStyle w:val="NoSpacing"/>
            </w:pPr>
            <w:r w:rsidRPr="00215DE5">
              <w:t> </w:t>
            </w:r>
          </w:p>
        </w:tc>
      </w:tr>
      <w:tr w:rsidR="00ED5C08" w:rsidRPr="00215DE5" w:rsidTr="0075614E">
        <w:tc>
          <w:tcPr>
            <w:tcW w:w="648" w:type="dxa"/>
          </w:tcPr>
          <w:p w:rsidR="00ED5C08" w:rsidRPr="00215DE5" w:rsidRDefault="00ED5C08" w:rsidP="00ED5C08">
            <w:pPr>
              <w:pStyle w:val="NoSpacing"/>
            </w:pPr>
          </w:p>
        </w:tc>
        <w:tc>
          <w:tcPr>
            <w:tcW w:w="1530" w:type="dxa"/>
            <w:hideMark/>
          </w:tcPr>
          <w:p w:rsidR="00ED5C08" w:rsidRPr="00215DE5" w:rsidRDefault="00ED5C08" w:rsidP="00ED5C08">
            <w:pPr>
              <w:pStyle w:val="NoSpacing"/>
            </w:pPr>
            <w:r w:rsidRPr="00215DE5">
              <w:t>0.0836</w:t>
            </w:r>
          </w:p>
        </w:tc>
        <w:tc>
          <w:tcPr>
            <w:tcW w:w="1530" w:type="dxa"/>
            <w:hideMark/>
          </w:tcPr>
          <w:p w:rsidR="00ED5C08" w:rsidRPr="00215DE5" w:rsidRDefault="00ED5C08" w:rsidP="00ED5C08">
            <w:pPr>
              <w:pStyle w:val="NoSpacing"/>
            </w:pPr>
            <w:r w:rsidRPr="00215DE5">
              <w:t> </w:t>
            </w:r>
          </w:p>
        </w:tc>
        <w:tc>
          <w:tcPr>
            <w:tcW w:w="1530" w:type="dxa"/>
            <w:hideMark/>
          </w:tcPr>
          <w:p w:rsidR="00ED5C08" w:rsidRPr="00215DE5" w:rsidRDefault="00ED5C08" w:rsidP="00ED5C08">
            <w:pPr>
              <w:pStyle w:val="NoSpacing"/>
            </w:pPr>
            <w:r w:rsidRPr="00215DE5">
              <w:t> </w:t>
            </w:r>
          </w:p>
        </w:tc>
        <w:tc>
          <w:tcPr>
            <w:tcW w:w="1440" w:type="dxa"/>
            <w:hideMark/>
          </w:tcPr>
          <w:p w:rsidR="00ED5C08" w:rsidRPr="00215DE5" w:rsidRDefault="00ED5C08" w:rsidP="00ED5C08">
            <w:pPr>
              <w:pStyle w:val="NoSpacing"/>
            </w:pPr>
            <w:r w:rsidRPr="00215DE5">
              <w:t> </w:t>
            </w:r>
          </w:p>
        </w:tc>
        <w:tc>
          <w:tcPr>
            <w:tcW w:w="1440" w:type="dxa"/>
            <w:hideMark/>
          </w:tcPr>
          <w:p w:rsidR="00ED5C08" w:rsidRPr="00215DE5" w:rsidRDefault="00ED5C08" w:rsidP="00ED5C08">
            <w:pPr>
              <w:pStyle w:val="NoSpacing"/>
            </w:pPr>
            <w:r w:rsidRPr="00215DE5">
              <w:t> </w:t>
            </w:r>
          </w:p>
        </w:tc>
      </w:tr>
    </w:tbl>
    <w:p w:rsidR="00ED5C08" w:rsidRDefault="00ED5C08" w:rsidP="002172C0">
      <w:pPr>
        <w:pStyle w:val="NoSpacing"/>
        <w:rPr>
          <w:b/>
          <w:u w:val="single"/>
        </w:rPr>
      </w:pPr>
    </w:p>
    <w:p w:rsidR="007F7E77" w:rsidRPr="007F7E77" w:rsidRDefault="007F7E77" w:rsidP="007F7E77">
      <w:pPr>
        <w:spacing w:before="100" w:beforeAutospacing="1" w:after="100" w:afterAutospacing="1" w:line="240" w:lineRule="auto"/>
        <w:outlineLvl w:val="2"/>
        <w:rPr>
          <w:rFonts w:eastAsia="Times New Roman" w:cs="Times New Roman"/>
          <w:b/>
          <w:bCs/>
        </w:rPr>
      </w:pPr>
      <w:r w:rsidRPr="006047DA">
        <w:rPr>
          <w:b/>
        </w:rPr>
        <w:t xml:space="preserve">Step 1: Calculate the </w:t>
      </w:r>
      <w:r w:rsidRPr="007F7E77">
        <w:rPr>
          <w:rFonts w:eastAsia="Times New Roman" w:cs="Times New Roman"/>
          <w:b/>
          <w:bCs/>
        </w:rPr>
        <w:t>Grand Mean</w:t>
      </w:r>
    </w:p>
    <w:p w:rsidR="007F7E77" w:rsidRPr="007F7E77" w:rsidRDefault="007F7E77" w:rsidP="007F7E77">
      <w:pPr>
        <w:pStyle w:val="NoSpacing"/>
      </w:pPr>
      <w:r w:rsidRPr="007F7E77">
        <w:t xml:space="preserve">The grand mean of a set of samples is the total of all the data values divided by the total sample size. </w:t>
      </w:r>
    </w:p>
    <w:p w:rsidR="007F7E77" w:rsidRDefault="007F7E77" w:rsidP="007F7E77">
      <w:pPr>
        <w:spacing w:before="100" w:beforeAutospacing="1" w:after="100" w:afterAutospacing="1" w:line="240" w:lineRule="auto"/>
        <w:outlineLvl w:val="2"/>
        <w:rPr>
          <w:rFonts w:ascii="Times New Roman" w:eastAsia="Times New Roman" w:hAnsi="Times New Roman" w:cs="Times New Roman"/>
          <w:b/>
          <w:bCs/>
          <w:sz w:val="27"/>
          <w:szCs w:val="27"/>
        </w:rPr>
      </w:pPr>
      <w:r w:rsidRPr="007F7E77">
        <w:rPr>
          <w:rFonts w:eastAsia="Times New Roman" w:cs="Times New Roman"/>
          <w:noProof/>
          <w:sz w:val="24"/>
          <w:szCs w:val="24"/>
        </w:rPr>
        <w:drawing>
          <wp:anchor distT="0" distB="0" distL="0" distR="0" simplePos="0" relativeHeight="251659264" behindDoc="0" locked="0" layoutInCell="1" allowOverlap="0" wp14:anchorId="06A7AB89" wp14:editId="696C5C0B">
            <wp:simplePos x="0" y="0"/>
            <wp:positionH relativeFrom="column">
              <wp:posOffset>209550</wp:posOffset>
            </wp:positionH>
            <wp:positionV relativeFrom="line">
              <wp:posOffset>34925</wp:posOffset>
            </wp:positionV>
            <wp:extent cx="942975" cy="476250"/>
            <wp:effectExtent l="0" t="0" r="9525" b="0"/>
            <wp:wrapSquare wrapText="bothSides"/>
            <wp:docPr id="1" name="Picture 26" descr="x bar sub 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x bar sub G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E77" w:rsidRPr="007F7E77" w:rsidRDefault="005A2174" w:rsidP="007F7E77">
      <w:pPr>
        <w:pStyle w:val="NoSpacing"/>
        <w:numPr>
          <w:ilvl w:val="0"/>
          <w:numId w:val="2"/>
        </w:numPr>
        <w:rPr>
          <w:i/>
        </w:rPr>
      </w:pPr>
      <w:r>
        <w:rPr>
          <w:i/>
        </w:rPr>
        <w:t>Using the A</w:t>
      </w:r>
      <w:r w:rsidR="007F7E77" w:rsidRPr="007F7E77">
        <w:rPr>
          <w:i/>
        </w:rPr>
        <w:t>A</w:t>
      </w:r>
      <w:r>
        <w:rPr>
          <w:i/>
        </w:rPr>
        <w:t>M</w:t>
      </w:r>
      <w:r w:rsidR="007F7E77" w:rsidRPr="007F7E77">
        <w:rPr>
          <w:i/>
        </w:rPr>
        <w:t xml:space="preserve"> data from above, calculate the grand mean:</w:t>
      </w:r>
    </w:p>
    <w:p w:rsidR="007F7E77" w:rsidRDefault="007F7E77" w:rsidP="007F7E77">
      <w:pPr>
        <w:spacing w:before="100" w:beforeAutospacing="1" w:after="100" w:afterAutospacing="1" w:line="240" w:lineRule="auto"/>
        <w:outlineLvl w:val="2"/>
        <w:rPr>
          <w:rFonts w:ascii="Times New Roman" w:eastAsia="Times New Roman" w:hAnsi="Times New Roman" w:cs="Times New Roman"/>
          <w:b/>
          <w:bCs/>
          <w:sz w:val="27"/>
          <w:szCs w:val="27"/>
        </w:rPr>
      </w:pPr>
    </w:p>
    <w:p w:rsidR="007F7E77" w:rsidRDefault="007F7E77" w:rsidP="007F7E77">
      <w:pPr>
        <w:spacing w:before="100" w:beforeAutospacing="1" w:after="100" w:afterAutospacing="1" w:line="240" w:lineRule="auto"/>
        <w:outlineLvl w:val="2"/>
        <w:rPr>
          <w:rFonts w:ascii="Times New Roman" w:eastAsia="Times New Roman" w:hAnsi="Times New Roman" w:cs="Times New Roman"/>
          <w:b/>
          <w:bCs/>
          <w:sz w:val="27"/>
          <w:szCs w:val="27"/>
        </w:rPr>
      </w:pPr>
    </w:p>
    <w:p w:rsidR="007F7E77" w:rsidRPr="006047DA" w:rsidRDefault="007F7E77" w:rsidP="007F7E77">
      <w:pPr>
        <w:pStyle w:val="NoSpacing"/>
        <w:rPr>
          <w:b/>
        </w:rPr>
      </w:pPr>
      <w:r w:rsidRPr="006047DA">
        <w:rPr>
          <w:b/>
        </w:rPr>
        <w:t>Step 2: Calculate the Total Variation</w:t>
      </w:r>
    </w:p>
    <w:p w:rsidR="007F7E77" w:rsidRDefault="007F7E77" w:rsidP="007F7E77">
      <w:pPr>
        <w:pStyle w:val="NoSpacing"/>
      </w:pPr>
    </w:p>
    <w:p w:rsidR="007F7E77" w:rsidRPr="007F7E77" w:rsidRDefault="007F7E77" w:rsidP="007F7E77">
      <w:pPr>
        <w:pStyle w:val="NoSpacing"/>
      </w:pPr>
      <w:r w:rsidRPr="007F7E77">
        <w:t xml:space="preserve">The total variation (not variance) is comprised the </w:t>
      </w:r>
      <w:r w:rsidR="006261C0">
        <w:t xml:space="preserve">TOTAL </w:t>
      </w:r>
      <w:r w:rsidRPr="007F7E77">
        <w:t xml:space="preserve">sum of the squares of the differences of each mean with the grand mean. </w:t>
      </w:r>
    </w:p>
    <w:p w:rsidR="00195C90" w:rsidRDefault="00195C90" w:rsidP="007F7E77">
      <w:pPr>
        <w:pStyle w:val="NoSpacing"/>
      </w:pPr>
    </w:p>
    <w:p w:rsidR="007F7E77" w:rsidRPr="007F7E77" w:rsidRDefault="007F7E77" w:rsidP="007F7E77">
      <w:pPr>
        <w:pStyle w:val="NoSpacing"/>
      </w:pPr>
      <w:r>
        <w:t>**</w:t>
      </w:r>
      <w:r w:rsidRPr="007F7E77">
        <w:t xml:space="preserve">There is the between group variation and the within group variation. The whole idea behind the analysis of variance is to compare the ratio of between group variance to within group variance. If the variance caused by the interaction between the samples is much larger when compared to the variance that appears within each group, then it is because the means aren't the same. </w:t>
      </w:r>
    </w:p>
    <w:p w:rsidR="007F7E77" w:rsidRDefault="007F7E77" w:rsidP="007F7E77">
      <w:pPr>
        <w:spacing w:before="100" w:beforeAutospacing="1" w:after="100" w:afterAutospacing="1" w:line="240" w:lineRule="auto"/>
        <w:outlineLvl w:val="2"/>
        <w:rPr>
          <w:rFonts w:ascii="Times New Roman" w:eastAsia="Times New Roman" w:hAnsi="Times New Roman" w:cs="Times New Roman"/>
          <w:b/>
          <w:bCs/>
          <w:sz w:val="27"/>
          <w:szCs w:val="27"/>
        </w:rPr>
      </w:pPr>
      <w:r w:rsidRPr="007F7E77">
        <w:rPr>
          <w:noProof/>
        </w:rPr>
        <w:lastRenderedPageBreak/>
        <w:drawing>
          <wp:anchor distT="0" distB="0" distL="0" distR="0" simplePos="0" relativeHeight="251661312" behindDoc="0" locked="0" layoutInCell="1" allowOverlap="0" wp14:anchorId="007E6985" wp14:editId="0CA2D448">
            <wp:simplePos x="0" y="0"/>
            <wp:positionH relativeFrom="column">
              <wp:posOffset>209550</wp:posOffset>
            </wp:positionH>
            <wp:positionV relativeFrom="line">
              <wp:posOffset>195580</wp:posOffset>
            </wp:positionV>
            <wp:extent cx="1857375" cy="304800"/>
            <wp:effectExtent l="0" t="0" r="9525" b="0"/>
            <wp:wrapSquare wrapText="bothSides"/>
            <wp:docPr id="3" name="Picture 3" descr="Total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otal Var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E77" w:rsidRPr="007F7E77" w:rsidRDefault="005A2174" w:rsidP="007F7E77">
      <w:pPr>
        <w:pStyle w:val="NoSpacing"/>
        <w:numPr>
          <w:ilvl w:val="0"/>
          <w:numId w:val="2"/>
        </w:numPr>
        <w:rPr>
          <w:i/>
        </w:rPr>
      </w:pPr>
      <w:r>
        <w:rPr>
          <w:i/>
        </w:rPr>
        <w:t>Using the AAM</w:t>
      </w:r>
      <w:r w:rsidR="007F7E77" w:rsidRPr="007F7E77">
        <w:rPr>
          <w:i/>
        </w:rPr>
        <w:t xml:space="preserve"> data from</w:t>
      </w:r>
      <w:r w:rsidR="007F7E77">
        <w:rPr>
          <w:i/>
        </w:rPr>
        <w:t xml:space="preserve"> above, calculate the total variation</w:t>
      </w:r>
      <w:r w:rsidR="007F7E77" w:rsidRPr="007F7E77">
        <w:rPr>
          <w:i/>
        </w:rPr>
        <w:t>:</w:t>
      </w:r>
    </w:p>
    <w:p w:rsidR="007F7E77" w:rsidRDefault="007F7E77" w:rsidP="007F7E77">
      <w:pPr>
        <w:spacing w:before="100" w:beforeAutospacing="1" w:after="100" w:afterAutospacing="1" w:line="240" w:lineRule="auto"/>
        <w:outlineLvl w:val="2"/>
        <w:rPr>
          <w:rFonts w:ascii="Times New Roman" w:eastAsia="Times New Roman" w:hAnsi="Times New Roman" w:cs="Times New Roman"/>
          <w:b/>
          <w:bCs/>
          <w:sz w:val="27"/>
          <w:szCs w:val="27"/>
        </w:rPr>
      </w:pPr>
    </w:p>
    <w:p w:rsidR="007F7E77" w:rsidRPr="006047DA" w:rsidRDefault="00195C90" w:rsidP="00195C90">
      <w:pPr>
        <w:pStyle w:val="NoSpacing"/>
        <w:rPr>
          <w:b/>
        </w:rPr>
      </w:pPr>
      <w:r w:rsidRPr="006047DA">
        <w:rPr>
          <w:b/>
        </w:rPr>
        <w:t xml:space="preserve">Step 3: Calculate the </w:t>
      </w:r>
      <w:r w:rsidR="007F7E77" w:rsidRPr="006047DA">
        <w:rPr>
          <w:b/>
        </w:rPr>
        <w:t>Between Group Variation</w:t>
      </w:r>
    </w:p>
    <w:p w:rsidR="006047DA" w:rsidRDefault="006047DA" w:rsidP="00195C90">
      <w:pPr>
        <w:pStyle w:val="NoSpacing"/>
      </w:pPr>
    </w:p>
    <w:p w:rsidR="00C20FB7" w:rsidRDefault="007F7E77" w:rsidP="00195C90">
      <w:pPr>
        <w:pStyle w:val="NoSpacing"/>
      </w:pPr>
      <w:r w:rsidRPr="007F7E77">
        <w:t xml:space="preserve">The variation due to the interaction between the samples is denoted </w:t>
      </w:r>
      <w:proofErr w:type="gramStart"/>
      <w:r w:rsidRPr="007F7E77">
        <w:t>SS(</w:t>
      </w:r>
      <w:proofErr w:type="gramEnd"/>
      <w:r w:rsidRPr="007F7E77">
        <w:t xml:space="preserve">B) for Sum of Squares Between groups. If the sample means are close to each other (and therefore the Grand Mean) this will be small. There are k samples involved with one data value for each sample (the sample mean), so there are k-1 degrees of freedom. </w:t>
      </w:r>
    </w:p>
    <w:p w:rsidR="00C20FB7" w:rsidRDefault="00C20FB7" w:rsidP="00195C90">
      <w:pPr>
        <w:pStyle w:val="NoSpacing"/>
      </w:pPr>
      <w:r w:rsidRPr="007F7E77">
        <w:rPr>
          <w:noProof/>
        </w:rPr>
        <w:drawing>
          <wp:anchor distT="0" distB="0" distL="0" distR="0" simplePos="0" relativeHeight="251662336" behindDoc="0" locked="0" layoutInCell="1" allowOverlap="0" wp14:anchorId="26BFE8D3" wp14:editId="2B53A3DF">
            <wp:simplePos x="0" y="0"/>
            <wp:positionH relativeFrom="column">
              <wp:posOffset>66675</wp:posOffset>
            </wp:positionH>
            <wp:positionV relativeFrom="line">
              <wp:posOffset>126365</wp:posOffset>
            </wp:positionV>
            <wp:extent cx="1990725" cy="304800"/>
            <wp:effectExtent l="0" t="0" r="9525" b="0"/>
            <wp:wrapSquare wrapText="bothSides"/>
            <wp:docPr id="4" name="Picture 4" descr="Between Group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tween Group Var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FB7" w:rsidRDefault="006261C0" w:rsidP="00195C90">
      <w:pPr>
        <w:pStyle w:val="NoSpacing"/>
      </w:pPr>
      <w:r>
        <w:t xml:space="preserve"> </w:t>
      </w:r>
    </w:p>
    <w:p w:rsidR="00C20FB7" w:rsidRDefault="00C20FB7" w:rsidP="00195C90">
      <w:pPr>
        <w:pStyle w:val="NoSpacing"/>
      </w:pPr>
    </w:p>
    <w:p w:rsidR="00C20FB7" w:rsidRDefault="005A2174" w:rsidP="00C20FB7">
      <w:pPr>
        <w:pStyle w:val="NoSpacing"/>
        <w:numPr>
          <w:ilvl w:val="0"/>
          <w:numId w:val="2"/>
        </w:numPr>
        <w:rPr>
          <w:i/>
        </w:rPr>
      </w:pPr>
      <w:r>
        <w:rPr>
          <w:i/>
        </w:rPr>
        <w:t>Using the AAM</w:t>
      </w:r>
      <w:r w:rsidR="00C20FB7" w:rsidRPr="007F7E77">
        <w:rPr>
          <w:i/>
        </w:rPr>
        <w:t xml:space="preserve"> data from</w:t>
      </w:r>
      <w:r w:rsidR="00C20FB7">
        <w:rPr>
          <w:i/>
        </w:rPr>
        <w:t xml:space="preserve"> above, calculate </w:t>
      </w:r>
      <w:r w:rsidR="00C20FB7" w:rsidRPr="00C20FB7">
        <w:rPr>
          <w:i/>
        </w:rPr>
        <w:t>SS (B)</w:t>
      </w:r>
      <w:r w:rsidR="00C20FB7">
        <w:rPr>
          <w:i/>
        </w:rPr>
        <w:t xml:space="preserve"> </w:t>
      </w:r>
      <w:r w:rsidR="00C20FB7" w:rsidRPr="007F7E77">
        <w:rPr>
          <w:i/>
        </w:rPr>
        <w:t>:</w:t>
      </w:r>
    </w:p>
    <w:p w:rsidR="006261C0" w:rsidRDefault="006261C0" w:rsidP="006261C0">
      <w:pPr>
        <w:pStyle w:val="NoSpacing"/>
        <w:rPr>
          <w:i/>
        </w:rPr>
      </w:pPr>
    </w:p>
    <w:p w:rsidR="006261C0" w:rsidRDefault="006261C0" w:rsidP="006261C0">
      <w:pPr>
        <w:pStyle w:val="NoSpacing"/>
        <w:rPr>
          <w:i/>
        </w:rPr>
      </w:pPr>
    </w:p>
    <w:p w:rsidR="006261C0" w:rsidRDefault="006261C0" w:rsidP="006261C0">
      <w:pPr>
        <w:pStyle w:val="NoSpacing"/>
        <w:rPr>
          <w:i/>
        </w:rPr>
      </w:pPr>
    </w:p>
    <w:p w:rsidR="006261C0" w:rsidRPr="007F7E77" w:rsidRDefault="006261C0" w:rsidP="006261C0">
      <w:pPr>
        <w:pStyle w:val="NoSpacing"/>
        <w:rPr>
          <w:i/>
        </w:rPr>
      </w:pPr>
    </w:p>
    <w:p w:rsidR="00C20FB7" w:rsidRDefault="00C20FB7" w:rsidP="00195C90">
      <w:pPr>
        <w:pStyle w:val="NoSpacing"/>
      </w:pPr>
    </w:p>
    <w:p w:rsidR="007F7E77" w:rsidRPr="007F7E77" w:rsidRDefault="007F7E77" w:rsidP="00195C90">
      <w:pPr>
        <w:pStyle w:val="NoSpacing"/>
      </w:pPr>
      <w:r w:rsidRPr="007F7E77">
        <w:t xml:space="preserve">The variance due to the interaction between the samples is denoted </w:t>
      </w:r>
      <w:proofErr w:type="gramStart"/>
      <w:r w:rsidRPr="007F7E77">
        <w:t>MS(</w:t>
      </w:r>
      <w:proofErr w:type="gramEnd"/>
      <w:r w:rsidRPr="007F7E77">
        <w:t>B) for Mean Square Between groups. This is the between group variation divide</w:t>
      </w:r>
      <w:r w:rsidR="00195C90">
        <w:t xml:space="preserve">d by its degrees of freedom. It </w:t>
      </w:r>
      <w:r w:rsidRPr="007F7E77">
        <w:t xml:space="preserve">is also denoted by. </w:t>
      </w:r>
      <w:r w:rsidR="00195C90" w:rsidRPr="007F7E77">
        <w:rPr>
          <w:noProof/>
        </w:rPr>
        <w:drawing>
          <wp:inline distT="0" distB="0" distL="0" distR="0" wp14:anchorId="339AF552" wp14:editId="5AC20F46">
            <wp:extent cx="200025" cy="314325"/>
            <wp:effectExtent l="0" t="0" r="9525" b="9525"/>
            <wp:docPr id="5" name="Picture 9" descr="s_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_b^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a:ln>
                      <a:noFill/>
                    </a:ln>
                  </pic:spPr>
                </pic:pic>
              </a:graphicData>
            </a:graphic>
          </wp:inline>
        </w:drawing>
      </w:r>
      <w:r w:rsidR="005F0223">
        <w:t xml:space="preserve">**k is the number of population means being compared </w:t>
      </w:r>
    </w:p>
    <w:p w:rsidR="00195C90" w:rsidRDefault="00195C90" w:rsidP="00C20FB7">
      <w:pPr>
        <w:pStyle w:val="NoSpacing"/>
      </w:pPr>
    </w:p>
    <w:p w:rsidR="00C20FB7" w:rsidRDefault="005A2174" w:rsidP="00C20FB7">
      <w:pPr>
        <w:pStyle w:val="NoSpacing"/>
        <w:numPr>
          <w:ilvl w:val="0"/>
          <w:numId w:val="2"/>
        </w:numPr>
        <w:rPr>
          <w:i/>
        </w:rPr>
      </w:pPr>
      <w:r>
        <w:rPr>
          <w:i/>
        </w:rPr>
        <w:t>Using the AAM</w:t>
      </w:r>
      <w:r w:rsidR="00C20FB7" w:rsidRPr="00C20FB7">
        <w:rPr>
          <w:i/>
        </w:rPr>
        <w:t xml:space="preserve"> data from above, calculate MS (B): </w:t>
      </w:r>
    </w:p>
    <w:p w:rsidR="00C20FB7" w:rsidRDefault="00C20FB7" w:rsidP="00C20FB7">
      <w:pPr>
        <w:pStyle w:val="NoSpacing"/>
        <w:rPr>
          <w:i/>
        </w:rPr>
      </w:pPr>
    </w:p>
    <w:p w:rsidR="00C20FB7" w:rsidRPr="00C20FB7" w:rsidRDefault="00C20FB7" w:rsidP="00C20FB7">
      <w:pPr>
        <w:pStyle w:val="NoSpacing"/>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SS(</w:t>
      </w:r>
      <w:proofErr w:type="gramEnd"/>
      <w:r>
        <w:rPr>
          <w:rFonts w:ascii="Times New Roman" w:eastAsia="Times New Roman" w:hAnsi="Times New Roman" w:cs="Times New Roman"/>
          <w:sz w:val="24"/>
          <w:szCs w:val="24"/>
        </w:rPr>
        <w:t>B)</w:t>
      </w:r>
      <w:r>
        <w:rPr>
          <w:rFonts w:ascii="Times New Roman" w:eastAsia="Times New Roman" w:hAnsi="Times New Roman" w:cs="Times New Roman"/>
          <w:sz w:val="24"/>
          <w:szCs w:val="24"/>
        </w:rPr>
        <w:br/>
        <w:t>MS(B) =      -------    =</w:t>
      </w:r>
      <w:r w:rsidR="005F0223">
        <w:rPr>
          <w:rFonts w:ascii="Times New Roman" w:eastAsia="Times New Roman" w:hAnsi="Times New Roman" w:cs="Times New Roman"/>
          <w:sz w:val="24"/>
          <w:szCs w:val="24"/>
        </w:rPr>
        <w:t xml:space="preserve"> </w:t>
      </w:r>
      <w:r w:rsidRPr="007F7E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F7E77">
        <w:rPr>
          <w:rFonts w:ascii="Times New Roman" w:eastAsia="Times New Roman" w:hAnsi="Times New Roman" w:cs="Times New Roman"/>
          <w:sz w:val="24"/>
          <w:szCs w:val="24"/>
        </w:rPr>
        <w:t>k-1</w:t>
      </w:r>
    </w:p>
    <w:p w:rsidR="00C20FB7" w:rsidRDefault="00C20FB7" w:rsidP="00C20FB7">
      <w:pPr>
        <w:pStyle w:val="NoSpacing"/>
        <w:rPr>
          <w:i/>
        </w:rPr>
      </w:pPr>
    </w:p>
    <w:p w:rsidR="00C20FB7" w:rsidRDefault="00C20FB7" w:rsidP="00C20FB7">
      <w:pPr>
        <w:pStyle w:val="NoSpacing"/>
        <w:rPr>
          <w:i/>
        </w:rPr>
      </w:pPr>
    </w:p>
    <w:p w:rsidR="007F7E77" w:rsidRPr="006047DA" w:rsidRDefault="00C20FB7" w:rsidP="00C20FB7">
      <w:pPr>
        <w:pStyle w:val="NoSpacing"/>
        <w:rPr>
          <w:b/>
        </w:rPr>
      </w:pPr>
      <w:r w:rsidRPr="006047DA">
        <w:rPr>
          <w:b/>
        </w:rPr>
        <w:t xml:space="preserve">Step 4: </w:t>
      </w:r>
      <w:r w:rsidR="007F7E77" w:rsidRPr="006047DA">
        <w:rPr>
          <w:b/>
        </w:rPr>
        <w:t>Within Group Variation</w:t>
      </w:r>
    </w:p>
    <w:p w:rsidR="006047DA" w:rsidRDefault="006047DA" w:rsidP="00C20FB7">
      <w:pPr>
        <w:pStyle w:val="NoSpacing"/>
      </w:pPr>
    </w:p>
    <w:p w:rsidR="00952A3C" w:rsidRDefault="007F7E77" w:rsidP="00C20FB7">
      <w:pPr>
        <w:pStyle w:val="NoSpacing"/>
      </w:pPr>
      <w:r w:rsidRPr="007F7E77">
        <w:t xml:space="preserve">The variation due to differences within individual samples, denoted </w:t>
      </w:r>
      <w:proofErr w:type="gramStart"/>
      <w:r w:rsidRPr="007F7E77">
        <w:t>SS(</w:t>
      </w:r>
      <w:proofErr w:type="gramEnd"/>
      <w:r w:rsidRPr="007F7E77">
        <w:t>W) for Sum of Squares Within groups. Each sample is considered independently, no interaction b</w:t>
      </w:r>
      <w:r w:rsidR="00952A3C">
        <w:t xml:space="preserve">etween samples is involved. </w:t>
      </w:r>
      <w:r w:rsidR="009F3555">
        <w:t xml:space="preserve"> Remember </w:t>
      </w:r>
      <m:oMath>
        <m:sSup>
          <m:sSupPr>
            <m:ctrlPr>
              <w:rPr>
                <w:rFonts w:ascii="Cambria Math" w:hAnsi="Cambria Math"/>
                <w:i/>
              </w:rPr>
            </m:ctrlPr>
          </m:sSupPr>
          <m:e>
            <m:r>
              <w:rPr>
                <w:rFonts w:ascii="Cambria Math" w:hAnsi="Cambria Math"/>
              </w:rPr>
              <m:t>s</m:t>
            </m:r>
          </m:e>
          <m:sup>
            <m:r>
              <w:rPr>
                <w:rFonts w:ascii="Cambria Math" w:hAnsi="Cambria Math"/>
              </w:rPr>
              <m:t>2</m:t>
            </m:r>
          </m:sup>
        </m:sSup>
      </m:oMath>
      <w:r w:rsidR="009F3555">
        <w:rPr>
          <w:rFonts w:eastAsiaTheme="minorEastAsia"/>
        </w:rPr>
        <w:t xml:space="preserve"> is the variance.</w:t>
      </w:r>
    </w:p>
    <w:p w:rsidR="00952A3C" w:rsidRDefault="00952A3C" w:rsidP="00C20FB7">
      <w:pPr>
        <w:pStyle w:val="NoSpacing"/>
      </w:pPr>
      <w:r w:rsidRPr="007F7E77">
        <w:rPr>
          <w:noProof/>
        </w:rPr>
        <w:drawing>
          <wp:anchor distT="0" distB="0" distL="0" distR="0" simplePos="0" relativeHeight="251663360" behindDoc="0" locked="0" layoutInCell="1" allowOverlap="0" wp14:anchorId="176EF5B4" wp14:editId="16D4BF1A">
            <wp:simplePos x="0" y="0"/>
            <wp:positionH relativeFrom="column">
              <wp:posOffset>66675</wp:posOffset>
            </wp:positionH>
            <wp:positionV relativeFrom="line">
              <wp:posOffset>107315</wp:posOffset>
            </wp:positionV>
            <wp:extent cx="1447800" cy="257175"/>
            <wp:effectExtent l="0" t="0" r="0" b="9525"/>
            <wp:wrapSquare wrapText="bothSides"/>
            <wp:docPr id="6" name="Picture 6" descr="Within Group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ithin Group Vari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A3C" w:rsidRDefault="00952A3C" w:rsidP="00C20FB7">
      <w:pPr>
        <w:pStyle w:val="NoSpacing"/>
      </w:pPr>
    </w:p>
    <w:p w:rsidR="00952A3C" w:rsidRDefault="00952A3C" w:rsidP="00C20FB7">
      <w:pPr>
        <w:pStyle w:val="NoSpacing"/>
      </w:pPr>
    </w:p>
    <w:p w:rsidR="00952A3C" w:rsidRPr="007F7E77" w:rsidRDefault="005A2174" w:rsidP="00952A3C">
      <w:pPr>
        <w:pStyle w:val="NoSpacing"/>
        <w:numPr>
          <w:ilvl w:val="0"/>
          <w:numId w:val="2"/>
        </w:numPr>
        <w:rPr>
          <w:i/>
        </w:rPr>
      </w:pPr>
      <w:r>
        <w:rPr>
          <w:i/>
        </w:rPr>
        <w:t>Using the AAM</w:t>
      </w:r>
      <w:r w:rsidR="00952A3C" w:rsidRPr="007F7E77">
        <w:rPr>
          <w:i/>
        </w:rPr>
        <w:t xml:space="preserve"> data from</w:t>
      </w:r>
      <w:r w:rsidR="00952A3C">
        <w:rPr>
          <w:i/>
        </w:rPr>
        <w:t xml:space="preserve"> above, calculate SS (W</w:t>
      </w:r>
      <w:r w:rsidR="00952A3C" w:rsidRPr="00C20FB7">
        <w:rPr>
          <w:i/>
        </w:rPr>
        <w:t>)</w:t>
      </w:r>
      <w:r w:rsidR="00952A3C">
        <w:rPr>
          <w:i/>
        </w:rPr>
        <w:t xml:space="preserve"> </w:t>
      </w:r>
      <w:r w:rsidR="00952A3C" w:rsidRPr="007F7E77">
        <w:rPr>
          <w:i/>
        </w:rPr>
        <w:t>:</w:t>
      </w:r>
    </w:p>
    <w:p w:rsidR="00952A3C" w:rsidRDefault="00952A3C" w:rsidP="00C20FB7">
      <w:pPr>
        <w:pStyle w:val="NoSpacing"/>
      </w:pPr>
    </w:p>
    <w:p w:rsidR="00952A3C" w:rsidRDefault="00952A3C" w:rsidP="00C20FB7">
      <w:pPr>
        <w:pStyle w:val="NoSpacing"/>
      </w:pPr>
    </w:p>
    <w:p w:rsidR="007F7E77" w:rsidRPr="007F7E77" w:rsidRDefault="00952A3C" w:rsidP="00C20FB7">
      <w:pPr>
        <w:pStyle w:val="NoSpacing"/>
      </w:pPr>
      <w:r>
        <w:t xml:space="preserve">The </w:t>
      </w:r>
      <w:proofErr w:type="gramStart"/>
      <w:r w:rsidR="007F7E77" w:rsidRPr="007F7E77">
        <w:t>degrees of freedom is</w:t>
      </w:r>
      <w:proofErr w:type="gramEnd"/>
      <w:r w:rsidR="007F7E77" w:rsidRPr="007F7E77">
        <w:t xml:space="preserve"> equal to the sum of the individual degrees of freedom for each sample. Since each sample has degrees of freedom equal to one less than their sample sizes, and </w:t>
      </w:r>
      <w:r w:rsidR="007F7E77" w:rsidRPr="007F7E77">
        <w:lastRenderedPageBreak/>
        <w:t xml:space="preserve">there are k samples, the total degrees of freedom is k less than the total sample size: </w:t>
      </w:r>
      <w:proofErr w:type="spellStart"/>
      <w:r w:rsidR="007F7E77" w:rsidRPr="007F7E77">
        <w:t>df</w:t>
      </w:r>
      <w:proofErr w:type="spellEnd"/>
      <w:r w:rsidR="007F7E77" w:rsidRPr="007F7E77">
        <w:t xml:space="preserve"> = N - k. The variance due to the differences within individual samples is denoted </w:t>
      </w:r>
      <w:proofErr w:type="gramStart"/>
      <w:r w:rsidR="007F7E77" w:rsidRPr="007F7E77">
        <w:t>MS(</w:t>
      </w:r>
      <w:proofErr w:type="gramEnd"/>
      <w:r w:rsidR="007F7E77" w:rsidRPr="007F7E77">
        <w:t xml:space="preserve">W) for Mean Square Within groups. This is the within group variation divided by its degrees of freedom. It is also denoted </w:t>
      </w:r>
      <w:proofErr w:type="gramStart"/>
      <w:r w:rsidR="007F7E77" w:rsidRPr="007F7E77">
        <w:t xml:space="preserve">by </w:t>
      </w:r>
      <w:proofErr w:type="gramEnd"/>
      <w:r w:rsidR="007F7E77" w:rsidRPr="007F7E77">
        <w:rPr>
          <w:noProof/>
        </w:rPr>
        <w:drawing>
          <wp:inline distT="0" distB="0" distL="0" distR="0" wp14:anchorId="32C3CE8C" wp14:editId="1CD7A202">
            <wp:extent cx="200025" cy="314325"/>
            <wp:effectExtent l="0" t="0" r="9525" b="0"/>
            <wp:docPr id="7" name="Picture 10" descr="s_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_w^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a:ln>
                      <a:noFill/>
                    </a:ln>
                  </pic:spPr>
                </pic:pic>
              </a:graphicData>
            </a:graphic>
          </wp:inline>
        </w:drawing>
      </w:r>
      <w:r w:rsidR="007F7E77" w:rsidRPr="007F7E77">
        <w:t xml:space="preserve">. It is the weighted average of the variances (weighted with the degrees of freedom). </w:t>
      </w:r>
    </w:p>
    <w:p w:rsidR="00952A3C" w:rsidRPr="00952A3C" w:rsidRDefault="00952A3C" w:rsidP="00952A3C">
      <w:pPr>
        <w:pStyle w:val="NoSpacing"/>
        <w:ind w:left="720"/>
        <w:rPr>
          <w:i/>
        </w:rPr>
      </w:pPr>
    </w:p>
    <w:p w:rsidR="00952A3C" w:rsidRPr="007F7E77" w:rsidRDefault="005A2174" w:rsidP="00952A3C">
      <w:pPr>
        <w:pStyle w:val="NoSpacing"/>
        <w:numPr>
          <w:ilvl w:val="0"/>
          <w:numId w:val="2"/>
        </w:numPr>
        <w:rPr>
          <w:i/>
        </w:rPr>
      </w:pPr>
      <w:r>
        <w:rPr>
          <w:i/>
        </w:rPr>
        <w:t>Using the AAM</w:t>
      </w:r>
      <w:r w:rsidR="00952A3C" w:rsidRPr="007F7E77">
        <w:rPr>
          <w:i/>
        </w:rPr>
        <w:t xml:space="preserve"> data from</w:t>
      </w:r>
      <w:r w:rsidR="00952A3C">
        <w:rPr>
          <w:i/>
        </w:rPr>
        <w:t xml:space="preserve"> above, calculate MS (W</w:t>
      </w:r>
      <w:r w:rsidR="00952A3C" w:rsidRPr="00C20FB7">
        <w:rPr>
          <w:i/>
        </w:rPr>
        <w:t>)</w:t>
      </w:r>
      <w:r w:rsidR="00952A3C">
        <w:rPr>
          <w:i/>
        </w:rPr>
        <w:t xml:space="preserve"> </w:t>
      </w:r>
      <w:r w:rsidR="00952A3C" w:rsidRPr="007F7E77">
        <w:rPr>
          <w:i/>
        </w:rPr>
        <w:t>:</w:t>
      </w:r>
    </w:p>
    <w:p w:rsidR="00C20FB7" w:rsidRDefault="00C20FB7" w:rsidP="00952A3C">
      <w:pPr>
        <w:pStyle w:val="NoSpacing"/>
      </w:pPr>
    </w:p>
    <w:p w:rsidR="00952A3C" w:rsidRDefault="00952A3C" w:rsidP="00952A3C">
      <w:pPr>
        <w:pStyle w:val="NoSpacing"/>
      </w:pPr>
    </w:p>
    <w:p w:rsidR="00952A3C" w:rsidRDefault="00952A3C" w:rsidP="00952A3C">
      <w:pPr>
        <w:pStyle w:val="NoSpacing"/>
      </w:pPr>
      <w:proofErr w:type="gramStart"/>
      <w:r>
        <w:t>MS(</w:t>
      </w:r>
      <w:proofErr w:type="gramEnd"/>
      <w:r>
        <w:t>W) =   SS(W)</w:t>
      </w:r>
    </w:p>
    <w:p w:rsidR="00952A3C" w:rsidRDefault="00952A3C" w:rsidP="00952A3C">
      <w:pPr>
        <w:pStyle w:val="NoSpacing"/>
      </w:pPr>
      <w:r>
        <w:t xml:space="preserve">                -----------</w:t>
      </w:r>
    </w:p>
    <w:p w:rsidR="00952A3C" w:rsidRDefault="00952A3C" w:rsidP="00952A3C">
      <w:pPr>
        <w:pStyle w:val="NoSpacing"/>
      </w:pPr>
      <w:r>
        <w:t xml:space="preserve">                    N-k</w:t>
      </w:r>
    </w:p>
    <w:p w:rsidR="00C20FB7" w:rsidRDefault="00C20FB7" w:rsidP="007F7E77">
      <w:pPr>
        <w:spacing w:before="100" w:beforeAutospacing="1" w:after="100" w:afterAutospacing="1" w:line="240" w:lineRule="auto"/>
        <w:outlineLvl w:val="2"/>
        <w:rPr>
          <w:rFonts w:ascii="Times New Roman" w:eastAsia="Times New Roman" w:hAnsi="Times New Roman" w:cs="Times New Roman"/>
          <w:b/>
          <w:bCs/>
          <w:sz w:val="27"/>
          <w:szCs w:val="27"/>
        </w:rPr>
      </w:pPr>
    </w:p>
    <w:p w:rsidR="00C20FB7" w:rsidRPr="006047DA" w:rsidRDefault="00952A3C" w:rsidP="00952A3C">
      <w:pPr>
        <w:pStyle w:val="NoSpacing"/>
        <w:rPr>
          <w:b/>
        </w:rPr>
      </w:pPr>
      <w:r w:rsidRPr="006047DA">
        <w:rPr>
          <w:b/>
        </w:rPr>
        <w:t>Step 5: Calculate the F test statistic</w:t>
      </w:r>
    </w:p>
    <w:p w:rsidR="006047DA" w:rsidRDefault="006047DA" w:rsidP="00952A3C">
      <w:pPr>
        <w:pStyle w:val="NoSpacing"/>
      </w:pPr>
    </w:p>
    <w:p w:rsidR="007F7E77" w:rsidRDefault="007F7E77" w:rsidP="00952A3C">
      <w:pPr>
        <w:pStyle w:val="NoSpacing"/>
      </w:pPr>
      <w:r w:rsidRPr="007F7E77">
        <w:rPr>
          <w:noProof/>
        </w:rPr>
        <w:drawing>
          <wp:anchor distT="0" distB="0" distL="0" distR="0" simplePos="0" relativeHeight="251664384" behindDoc="0" locked="0" layoutInCell="1" allowOverlap="0" wp14:anchorId="7C18F69C" wp14:editId="64B9B2A9">
            <wp:simplePos x="0" y="0"/>
            <wp:positionH relativeFrom="column">
              <wp:align>right</wp:align>
            </wp:positionH>
            <wp:positionV relativeFrom="line">
              <wp:posOffset>0</wp:posOffset>
            </wp:positionV>
            <wp:extent cx="838200" cy="885825"/>
            <wp:effectExtent l="0" t="0" r="0" b="9525"/>
            <wp:wrapSquare wrapText="bothSides"/>
            <wp:docPr id="8" name="Picture 8" descr="ANOVA Test Stat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OVA Test Statist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E77">
        <w:t xml:space="preserve">The F test statistic is found by dividing the between group variance by the within group variance. The degrees of freedom for the numerator are the degrees of freedom for the between group (k-1) and the degrees of freedom for the denominator are the degrees of freedom for the within group (N-k). </w:t>
      </w:r>
    </w:p>
    <w:p w:rsidR="00BC159B" w:rsidRDefault="00BC159B" w:rsidP="00952A3C">
      <w:pPr>
        <w:pStyle w:val="NoSpacing"/>
      </w:pPr>
    </w:p>
    <w:p w:rsidR="00BC159B" w:rsidRPr="007F7E77" w:rsidRDefault="00BC159B" w:rsidP="00952A3C">
      <w:pPr>
        <w:pStyle w:val="NoSpacing"/>
      </w:pPr>
      <w:r>
        <w:t xml:space="preserve">Also notated as F= </w:t>
      </w:r>
      <m:oMath>
        <m:f>
          <m:fPr>
            <m:ctrlPr>
              <w:rPr>
                <w:rFonts w:ascii="Cambria Math" w:hAnsi="Cambria Math"/>
                <w:i/>
              </w:rPr>
            </m:ctrlPr>
          </m:fPr>
          <m:num>
            <m:r>
              <w:rPr>
                <w:rFonts w:ascii="Cambria Math" w:hAnsi="Cambria Math"/>
              </w:rPr>
              <m:t>MS Between</m:t>
            </m:r>
          </m:num>
          <m:den>
            <m:r>
              <w:rPr>
                <w:rFonts w:ascii="Cambria Math" w:hAnsi="Cambria Math"/>
              </w:rPr>
              <m:t>MS Within</m:t>
            </m:r>
          </m:den>
        </m:f>
      </m:oMath>
    </w:p>
    <w:p w:rsidR="00952A3C" w:rsidRDefault="00BC159B" w:rsidP="00952A3C">
      <w:pPr>
        <w:pStyle w:val="NoSpacing"/>
        <w:rPr>
          <w:b/>
          <w:bCs/>
          <w:sz w:val="27"/>
          <w:szCs w:val="27"/>
        </w:rPr>
      </w:pPr>
      <w:r>
        <w:rPr>
          <w:b/>
          <w:bCs/>
          <w:sz w:val="27"/>
          <w:szCs w:val="27"/>
        </w:rPr>
        <w:t xml:space="preserve"> </w:t>
      </w:r>
    </w:p>
    <w:p w:rsidR="006047DA" w:rsidRDefault="006047DA" w:rsidP="00952A3C">
      <w:pPr>
        <w:pStyle w:val="NoSpacing"/>
        <w:rPr>
          <w:b/>
          <w:bCs/>
          <w:sz w:val="27"/>
          <w:szCs w:val="27"/>
        </w:rPr>
      </w:pPr>
    </w:p>
    <w:p w:rsidR="00952A3C" w:rsidRPr="00952A3C" w:rsidRDefault="005A2174" w:rsidP="00952A3C">
      <w:pPr>
        <w:pStyle w:val="NoSpacing"/>
        <w:numPr>
          <w:ilvl w:val="0"/>
          <w:numId w:val="2"/>
        </w:numPr>
        <w:rPr>
          <w:i/>
        </w:rPr>
      </w:pPr>
      <w:r>
        <w:rPr>
          <w:i/>
        </w:rPr>
        <w:t>Using the AAM</w:t>
      </w:r>
      <w:r w:rsidR="00952A3C" w:rsidRPr="00952A3C">
        <w:rPr>
          <w:i/>
        </w:rPr>
        <w:t xml:space="preserve"> data from above, calculate the F test statistic: </w:t>
      </w:r>
    </w:p>
    <w:p w:rsidR="00952A3C" w:rsidRDefault="00952A3C" w:rsidP="00952A3C">
      <w:pPr>
        <w:pStyle w:val="NoSpacing"/>
      </w:pPr>
    </w:p>
    <w:p w:rsidR="00952A3C" w:rsidRDefault="00952A3C" w:rsidP="00952A3C">
      <w:pPr>
        <w:pStyle w:val="NoSpacing"/>
      </w:pPr>
    </w:p>
    <w:p w:rsidR="00952A3C" w:rsidRDefault="00952A3C" w:rsidP="00952A3C">
      <w:pPr>
        <w:pStyle w:val="NoSpacing"/>
      </w:pPr>
      <w:r>
        <w:t xml:space="preserve">F = </w:t>
      </w:r>
    </w:p>
    <w:p w:rsidR="006047DA" w:rsidRDefault="006047DA" w:rsidP="00952A3C">
      <w:pPr>
        <w:pStyle w:val="NoSpacing"/>
      </w:pPr>
    </w:p>
    <w:p w:rsidR="006047DA" w:rsidRDefault="006047DA" w:rsidP="00952A3C">
      <w:pPr>
        <w:pStyle w:val="NoSpacing"/>
      </w:pPr>
    </w:p>
    <w:p w:rsidR="007F7E77" w:rsidRPr="007F7E77" w:rsidRDefault="007F7E77" w:rsidP="00952A3C">
      <w:pPr>
        <w:pStyle w:val="NoSpacing"/>
      </w:pPr>
      <w:r w:rsidRPr="007F7E77">
        <w:t>Summary Table</w:t>
      </w:r>
    </w:p>
    <w:p w:rsidR="007F7E77" w:rsidRPr="007F7E77" w:rsidRDefault="007F7E77" w:rsidP="00952A3C">
      <w:pPr>
        <w:pStyle w:val="NoSpacing"/>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99"/>
        <w:gridCol w:w="2166"/>
        <w:gridCol w:w="1098"/>
        <w:gridCol w:w="2264"/>
        <w:gridCol w:w="2473"/>
      </w:tblGrid>
      <w:tr w:rsidR="007F7E77" w:rsidRPr="007F7E77" w:rsidTr="007F7E77">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p>
        </w:tc>
        <w:tc>
          <w:tcPr>
            <w:tcW w:w="1100" w:type="pct"/>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SS</w:t>
            </w:r>
          </w:p>
        </w:tc>
        <w:tc>
          <w:tcPr>
            <w:tcW w:w="550" w:type="pct"/>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proofErr w:type="spellStart"/>
            <w:r w:rsidRPr="006A679E">
              <w:t>df</w:t>
            </w:r>
            <w:proofErr w:type="spellEnd"/>
          </w:p>
        </w:tc>
        <w:tc>
          <w:tcPr>
            <w:tcW w:w="1150" w:type="pct"/>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MS</w:t>
            </w:r>
          </w:p>
        </w:tc>
        <w:tc>
          <w:tcPr>
            <w:tcW w:w="1250" w:type="pct"/>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F</w:t>
            </w:r>
          </w:p>
        </w:tc>
      </w:tr>
      <w:tr w:rsidR="007F7E77" w:rsidRPr="007F7E77" w:rsidTr="007F7E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Between</w:t>
            </w:r>
          </w:p>
        </w:tc>
        <w:tc>
          <w:tcPr>
            <w:tcW w:w="0" w:type="auto"/>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SS(B)</w:t>
            </w:r>
          </w:p>
        </w:tc>
        <w:tc>
          <w:tcPr>
            <w:tcW w:w="0" w:type="auto"/>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k-1</w:t>
            </w:r>
          </w:p>
        </w:tc>
        <w:tc>
          <w:tcPr>
            <w:tcW w:w="0" w:type="auto"/>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SS(B)</w:t>
            </w:r>
            <w:r w:rsidRPr="006A679E">
              <w:br/>
              <w:t>-----------</w:t>
            </w:r>
            <w:r w:rsidRPr="006A679E">
              <w:br/>
              <w:t>k-1</w:t>
            </w:r>
          </w:p>
        </w:tc>
        <w:tc>
          <w:tcPr>
            <w:tcW w:w="0" w:type="auto"/>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MS(B)</w:t>
            </w:r>
            <w:r w:rsidRPr="006A679E">
              <w:br/>
              <w:t>--------------</w:t>
            </w:r>
            <w:r w:rsidRPr="006A679E">
              <w:br/>
              <w:t>MS(W)</w:t>
            </w:r>
          </w:p>
        </w:tc>
      </w:tr>
      <w:tr w:rsidR="007F7E77" w:rsidRPr="007F7E77" w:rsidTr="007F7E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Within</w:t>
            </w:r>
          </w:p>
        </w:tc>
        <w:tc>
          <w:tcPr>
            <w:tcW w:w="0" w:type="auto"/>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SS(W)</w:t>
            </w:r>
          </w:p>
        </w:tc>
        <w:tc>
          <w:tcPr>
            <w:tcW w:w="0" w:type="auto"/>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N-k</w:t>
            </w:r>
          </w:p>
        </w:tc>
        <w:tc>
          <w:tcPr>
            <w:tcW w:w="0" w:type="auto"/>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SS(W)</w:t>
            </w:r>
            <w:r w:rsidRPr="006A679E">
              <w:br/>
              <w:t>-----------</w:t>
            </w:r>
            <w:r w:rsidRPr="006A679E">
              <w:br/>
              <w:t>N-k</w:t>
            </w:r>
          </w:p>
        </w:tc>
        <w:tc>
          <w:tcPr>
            <w:tcW w:w="0" w:type="auto"/>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rPr>
                <w:color w:val="FFFFFF"/>
              </w:rPr>
              <w:t>.</w:t>
            </w:r>
          </w:p>
        </w:tc>
      </w:tr>
      <w:tr w:rsidR="007F7E77" w:rsidRPr="007F7E77" w:rsidTr="007F7E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Total</w:t>
            </w:r>
          </w:p>
        </w:tc>
        <w:tc>
          <w:tcPr>
            <w:tcW w:w="0" w:type="auto"/>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SS(W) + SS(B)</w:t>
            </w:r>
          </w:p>
        </w:tc>
        <w:tc>
          <w:tcPr>
            <w:tcW w:w="0" w:type="auto"/>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r w:rsidRPr="006A679E">
              <w:t>N-1</w:t>
            </w:r>
          </w:p>
        </w:tc>
        <w:tc>
          <w:tcPr>
            <w:tcW w:w="0" w:type="auto"/>
            <w:tcBorders>
              <w:top w:val="outset" w:sz="6" w:space="0" w:color="auto"/>
              <w:left w:val="outset" w:sz="6" w:space="0" w:color="auto"/>
              <w:bottom w:val="outset" w:sz="6" w:space="0" w:color="auto"/>
              <w:right w:val="outset" w:sz="6" w:space="0" w:color="auto"/>
            </w:tcBorders>
            <w:hideMark/>
          </w:tcPr>
          <w:p w:rsidR="007F7E77" w:rsidRPr="006A679E" w:rsidRDefault="007F7E77" w:rsidP="006A679E">
            <w:pPr>
              <w:pStyle w:val="NoSpacing"/>
              <w:jc w:val="center"/>
            </w:pPr>
          </w:p>
        </w:tc>
        <w:tc>
          <w:tcPr>
            <w:tcW w:w="0" w:type="auto"/>
            <w:vAlign w:val="center"/>
            <w:hideMark/>
          </w:tcPr>
          <w:p w:rsidR="007F7E77" w:rsidRPr="006A679E" w:rsidRDefault="007F7E77" w:rsidP="006A679E">
            <w:pPr>
              <w:pStyle w:val="NoSpacing"/>
              <w:jc w:val="center"/>
            </w:pPr>
          </w:p>
        </w:tc>
      </w:tr>
    </w:tbl>
    <w:p w:rsidR="007F7E77" w:rsidRDefault="007F7E77" w:rsidP="006A679E">
      <w:pPr>
        <w:pStyle w:val="NoSpacing"/>
      </w:pPr>
    </w:p>
    <w:p w:rsidR="001A5CAC" w:rsidRDefault="00952A3C" w:rsidP="006A679E">
      <w:pPr>
        <w:pStyle w:val="NoSpacing"/>
      </w:pPr>
      <w:r w:rsidRPr="00952A3C">
        <w:lastRenderedPageBreak/>
        <w:t xml:space="preserve">The conventional way of reporting the complete results of an </w:t>
      </w:r>
      <w:proofErr w:type="spellStart"/>
      <w:r w:rsidRPr="00952A3C">
        <w:t>anova</w:t>
      </w:r>
      <w:proofErr w:type="spellEnd"/>
      <w:r w:rsidRPr="00952A3C">
        <w:t xml:space="preserve"> is with a table (the "sum of squares" column is often omitted). Here are the results </w:t>
      </w:r>
      <w:r w:rsidR="005A2174">
        <w:t xml:space="preserve">of a one-way </w:t>
      </w:r>
      <w:proofErr w:type="spellStart"/>
      <w:r w:rsidR="005A2174">
        <w:t>anova</w:t>
      </w:r>
      <w:proofErr w:type="spellEnd"/>
      <w:r w:rsidR="005A2174">
        <w:t xml:space="preserve"> on the AAM</w:t>
      </w:r>
      <w:r w:rsidR="006A679E">
        <w:t xml:space="preserve"> data. Did you get the </w:t>
      </w:r>
    </w:p>
    <w:p w:rsidR="001A5CAC" w:rsidRDefault="006A679E" w:rsidP="006A679E">
      <w:pPr>
        <w:pStyle w:val="NoSpacing"/>
      </w:pPr>
      <w:proofErr w:type="gramStart"/>
      <w:r>
        <w:t>same</w:t>
      </w:r>
      <w:proofErr w:type="gramEnd"/>
      <w:r>
        <w:t xml:space="preserve"> results?</w:t>
      </w:r>
    </w:p>
    <w:p w:rsidR="001A5CAC" w:rsidRDefault="001A5CAC" w:rsidP="006A679E">
      <w:pPr>
        <w:pStyle w:val="NoSpacing"/>
      </w:pPr>
    </w:p>
    <w:p w:rsidR="00807FB8" w:rsidRDefault="00807FB8" w:rsidP="006A679E">
      <w:pPr>
        <w:pStyle w:val="NoSpacing"/>
      </w:pPr>
    </w:p>
    <w:p w:rsidR="00807FB8" w:rsidRDefault="00807FB8" w:rsidP="006A679E">
      <w:pPr>
        <w:pStyle w:val="NoSpacing"/>
      </w:pPr>
    </w:p>
    <w:p w:rsidR="00807FB8" w:rsidRDefault="00807FB8" w:rsidP="006A679E">
      <w:pPr>
        <w:pStyle w:val="NoSpacing"/>
      </w:pPr>
    </w:p>
    <w:p w:rsidR="00807FB8" w:rsidRDefault="00807FB8" w:rsidP="006A679E">
      <w:pPr>
        <w:pStyle w:val="NoSpacing"/>
      </w:pPr>
    </w:p>
    <w:p w:rsidR="00807FB8" w:rsidRDefault="00807FB8" w:rsidP="006A679E">
      <w:pPr>
        <w:pStyle w:val="NoSpacing"/>
      </w:pPr>
    </w:p>
    <w:p w:rsidR="00807FB8" w:rsidRDefault="00807FB8" w:rsidP="006A679E">
      <w:pPr>
        <w:pStyle w:val="NoSpacing"/>
      </w:pPr>
    </w:p>
    <w:p w:rsidR="00952A3C" w:rsidRPr="00952A3C" w:rsidRDefault="006A679E" w:rsidP="006A679E">
      <w:pPr>
        <w:pStyle w:val="NoSpacing"/>
      </w:pPr>
      <w:r>
        <w:t xml:space="preserve"> </w:t>
      </w:r>
    </w:p>
    <w:tbl>
      <w:tblPr>
        <w:tblStyle w:val="TableGrid"/>
        <w:tblW w:w="7785" w:type="dxa"/>
        <w:tblLook w:val="04A0" w:firstRow="1" w:lastRow="0" w:firstColumn="1" w:lastColumn="0" w:noHBand="0" w:noVBand="1"/>
      </w:tblPr>
      <w:tblGrid>
        <w:gridCol w:w="1567"/>
        <w:gridCol w:w="2180"/>
        <w:gridCol w:w="1075"/>
        <w:gridCol w:w="1781"/>
        <w:gridCol w:w="1182"/>
      </w:tblGrid>
      <w:tr w:rsidR="008A6919" w:rsidRPr="00952A3C" w:rsidTr="00195473">
        <w:tc>
          <w:tcPr>
            <w:tcW w:w="1530" w:type="dxa"/>
            <w:hideMark/>
          </w:tcPr>
          <w:p w:rsidR="008A6919" w:rsidRPr="00952A3C" w:rsidRDefault="008A6919" w:rsidP="006A679E">
            <w:pPr>
              <w:pStyle w:val="NoSpacing"/>
              <w:jc w:val="center"/>
            </w:pPr>
          </w:p>
        </w:tc>
        <w:tc>
          <w:tcPr>
            <w:tcW w:w="2130" w:type="dxa"/>
            <w:hideMark/>
          </w:tcPr>
          <w:p w:rsidR="008A6919" w:rsidRPr="00952A3C" w:rsidRDefault="008A6919" w:rsidP="006A679E">
            <w:pPr>
              <w:pStyle w:val="NoSpacing"/>
              <w:jc w:val="center"/>
            </w:pPr>
            <w:r w:rsidRPr="00952A3C">
              <w:t>sum of</w:t>
            </w:r>
            <w:r w:rsidRPr="00952A3C">
              <w:br/>
              <w:t>squares</w:t>
            </w:r>
          </w:p>
        </w:tc>
        <w:tc>
          <w:tcPr>
            <w:tcW w:w="1050" w:type="dxa"/>
            <w:hideMark/>
          </w:tcPr>
          <w:p w:rsidR="008A6919" w:rsidRPr="00952A3C" w:rsidRDefault="008A6919" w:rsidP="006A679E">
            <w:pPr>
              <w:pStyle w:val="NoSpacing"/>
              <w:jc w:val="center"/>
            </w:pPr>
            <w:proofErr w:type="spellStart"/>
            <w:r w:rsidRPr="00952A3C">
              <w:t>d.f.</w:t>
            </w:r>
            <w:proofErr w:type="spellEnd"/>
          </w:p>
        </w:tc>
        <w:tc>
          <w:tcPr>
            <w:tcW w:w="1740" w:type="dxa"/>
            <w:hideMark/>
          </w:tcPr>
          <w:p w:rsidR="008A6919" w:rsidRPr="00952A3C" w:rsidRDefault="008A6919" w:rsidP="006A679E">
            <w:pPr>
              <w:pStyle w:val="NoSpacing"/>
              <w:jc w:val="center"/>
            </w:pPr>
            <w:r w:rsidRPr="00952A3C">
              <w:t>mean</w:t>
            </w:r>
            <w:r w:rsidRPr="00952A3C">
              <w:br/>
              <w:t>square</w:t>
            </w:r>
          </w:p>
        </w:tc>
        <w:tc>
          <w:tcPr>
            <w:tcW w:w="1155" w:type="dxa"/>
            <w:hideMark/>
          </w:tcPr>
          <w:p w:rsidR="008A6919" w:rsidRPr="00952A3C" w:rsidRDefault="008A6919" w:rsidP="006A679E">
            <w:pPr>
              <w:pStyle w:val="NoSpacing"/>
              <w:jc w:val="center"/>
            </w:pPr>
            <w:r w:rsidRPr="00952A3C">
              <w:t>F</w:t>
            </w:r>
            <w:r w:rsidRPr="00952A3C">
              <w:rPr>
                <w:vertAlign w:val="subscript"/>
              </w:rPr>
              <w:t>s</w:t>
            </w:r>
          </w:p>
        </w:tc>
      </w:tr>
      <w:tr w:rsidR="008A6919" w:rsidRPr="00952A3C" w:rsidTr="00195473">
        <w:tc>
          <w:tcPr>
            <w:tcW w:w="1530" w:type="dxa"/>
            <w:hideMark/>
          </w:tcPr>
          <w:p w:rsidR="008A6919" w:rsidRPr="00952A3C" w:rsidRDefault="008A6919" w:rsidP="006A679E">
            <w:pPr>
              <w:pStyle w:val="NoSpacing"/>
              <w:jc w:val="center"/>
            </w:pPr>
            <w:r>
              <w:t>between</w:t>
            </w:r>
            <w:r w:rsidRPr="00952A3C">
              <w:t xml:space="preserve"> groups</w:t>
            </w:r>
          </w:p>
        </w:tc>
        <w:tc>
          <w:tcPr>
            <w:tcW w:w="2130" w:type="dxa"/>
            <w:hideMark/>
          </w:tcPr>
          <w:p w:rsidR="008A6919" w:rsidRPr="00952A3C" w:rsidRDefault="008A6919" w:rsidP="006A679E">
            <w:pPr>
              <w:pStyle w:val="NoSpacing"/>
              <w:jc w:val="center"/>
            </w:pPr>
            <w:r w:rsidRPr="00952A3C">
              <w:t>0.00452</w:t>
            </w:r>
          </w:p>
        </w:tc>
        <w:tc>
          <w:tcPr>
            <w:tcW w:w="1050" w:type="dxa"/>
            <w:hideMark/>
          </w:tcPr>
          <w:p w:rsidR="008A6919" w:rsidRPr="00952A3C" w:rsidRDefault="008A6919" w:rsidP="006A679E">
            <w:pPr>
              <w:pStyle w:val="NoSpacing"/>
              <w:jc w:val="center"/>
            </w:pPr>
            <w:r w:rsidRPr="00952A3C">
              <w:t>4</w:t>
            </w:r>
          </w:p>
        </w:tc>
        <w:tc>
          <w:tcPr>
            <w:tcW w:w="1740" w:type="dxa"/>
            <w:hideMark/>
          </w:tcPr>
          <w:p w:rsidR="008A6919" w:rsidRPr="00952A3C" w:rsidRDefault="005F0223" w:rsidP="006A679E">
            <w:pPr>
              <w:pStyle w:val="NoSpacing"/>
              <w:jc w:val="center"/>
            </w:pPr>
            <w:r>
              <w:t>0.0011</w:t>
            </w:r>
            <w:r w:rsidR="00807FB8">
              <w:t>1</w:t>
            </w:r>
            <w:r w:rsidR="008A6919" w:rsidRPr="00952A3C">
              <w:t>3</w:t>
            </w:r>
          </w:p>
        </w:tc>
        <w:tc>
          <w:tcPr>
            <w:tcW w:w="1155" w:type="dxa"/>
            <w:hideMark/>
          </w:tcPr>
          <w:p w:rsidR="008A6919" w:rsidRPr="00952A3C" w:rsidRDefault="00807FB8" w:rsidP="006A679E">
            <w:pPr>
              <w:pStyle w:val="NoSpacing"/>
              <w:jc w:val="center"/>
            </w:pPr>
            <w:r>
              <w:t>7.12</w:t>
            </w:r>
          </w:p>
        </w:tc>
      </w:tr>
      <w:tr w:rsidR="008A6919" w:rsidRPr="00952A3C" w:rsidTr="00195473">
        <w:tc>
          <w:tcPr>
            <w:tcW w:w="1530" w:type="dxa"/>
            <w:hideMark/>
          </w:tcPr>
          <w:p w:rsidR="008A6919" w:rsidRPr="00952A3C" w:rsidRDefault="008A6919" w:rsidP="006A679E">
            <w:pPr>
              <w:pStyle w:val="NoSpacing"/>
              <w:jc w:val="center"/>
            </w:pPr>
            <w:r w:rsidRPr="00952A3C">
              <w:t>within groups</w:t>
            </w:r>
          </w:p>
        </w:tc>
        <w:tc>
          <w:tcPr>
            <w:tcW w:w="2130" w:type="dxa"/>
            <w:hideMark/>
          </w:tcPr>
          <w:p w:rsidR="008A6919" w:rsidRPr="00952A3C" w:rsidRDefault="008A6919" w:rsidP="006A679E">
            <w:pPr>
              <w:pStyle w:val="NoSpacing"/>
              <w:jc w:val="center"/>
            </w:pPr>
            <w:r w:rsidRPr="00952A3C">
              <w:t>0.00539</w:t>
            </w:r>
          </w:p>
        </w:tc>
        <w:tc>
          <w:tcPr>
            <w:tcW w:w="1050" w:type="dxa"/>
            <w:hideMark/>
          </w:tcPr>
          <w:p w:rsidR="008A6919" w:rsidRPr="00952A3C" w:rsidRDefault="008A6919" w:rsidP="006A679E">
            <w:pPr>
              <w:pStyle w:val="NoSpacing"/>
              <w:jc w:val="center"/>
            </w:pPr>
            <w:r w:rsidRPr="00952A3C">
              <w:t>34</w:t>
            </w:r>
          </w:p>
        </w:tc>
        <w:tc>
          <w:tcPr>
            <w:tcW w:w="1740" w:type="dxa"/>
            <w:hideMark/>
          </w:tcPr>
          <w:p w:rsidR="008A6919" w:rsidRPr="00952A3C" w:rsidRDefault="008A6919" w:rsidP="006A679E">
            <w:pPr>
              <w:pStyle w:val="NoSpacing"/>
              <w:jc w:val="center"/>
            </w:pPr>
            <w:r w:rsidRPr="00952A3C">
              <w:t>0.000159</w:t>
            </w:r>
          </w:p>
        </w:tc>
        <w:tc>
          <w:tcPr>
            <w:tcW w:w="1155" w:type="dxa"/>
            <w:hideMark/>
          </w:tcPr>
          <w:p w:rsidR="008A6919" w:rsidRPr="00952A3C" w:rsidRDefault="008A6919" w:rsidP="006A679E">
            <w:pPr>
              <w:pStyle w:val="NoSpacing"/>
              <w:jc w:val="center"/>
            </w:pPr>
          </w:p>
        </w:tc>
      </w:tr>
      <w:tr w:rsidR="008A6919" w:rsidRPr="00952A3C" w:rsidTr="00195473">
        <w:tc>
          <w:tcPr>
            <w:tcW w:w="1530" w:type="dxa"/>
            <w:hideMark/>
          </w:tcPr>
          <w:p w:rsidR="008A6919" w:rsidRPr="00952A3C" w:rsidRDefault="008A6919" w:rsidP="006A679E">
            <w:pPr>
              <w:pStyle w:val="NoSpacing"/>
              <w:jc w:val="center"/>
            </w:pPr>
            <w:r w:rsidRPr="00952A3C">
              <w:t>total</w:t>
            </w:r>
          </w:p>
        </w:tc>
        <w:tc>
          <w:tcPr>
            <w:tcW w:w="2130" w:type="dxa"/>
            <w:hideMark/>
          </w:tcPr>
          <w:p w:rsidR="008A6919" w:rsidRPr="00952A3C" w:rsidRDefault="008A6919" w:rsidP="006A679E">
            <w:pPr>
              <w:pStyle w:val="NoSpacing"/>
              <w:jc w:val="center"/>
            </w:pPr>
            <w:r w:rsidRPr="00952A3C">
              <w:t>0.00991</w:t>
            </w:r>
          </w:p>
        </w:tc>
        <w:tc>
          <w:tcPr>
            <w:tcW w:w="1050" w:type="dxa"/>
            <w:hideMark/>
          </w:tcPr>
          <w:p w:rsidR="008A6919" w:rsidRPr="00952A3C" w:rsidRDefault="008A6919" w:rsidP="006A679E">
            <w:pPr>
              <w:pStyle w:val="NoSpacing"/>
              <w:jc w:val="center"/>
            </w:pPr>
            <w:r w:rsidRPr="00952A3C">
              <w:t>38</w:t>
            </w:r>
          </w:p>
        </w:tc>
        <w:tc>
          <w:tcPr>
            <w:tcW w:w="1740" w:type="dxa"/>
            <w:hideMark/>
          </w:tcPr>
          <w:p w:rsidR="008A6919" w:rsidRPr="00952A3C" w:rsidRDefault="008A6919" w:rsidP="006A679E">
            <w:pPr>
              <w:pStyle w:val="NoSpacing"/>
              <w:jc w:val="center"/>
            </w:pPr>
          </w:p>
        </w:tc>
        <w:tc>
          <w:tcPr>
            <w:tcW w:w="1155" w:type="dxa"/>
            <w:hideMark/>
          </w:tcPr>
          <w:p w:rsidR="008A6919" w:rsidRPr="00952A3C" w:rsidRDefault="008A6919" w:rsidP="006A679E">
            <w:pPr>
              <w:pStyle w:val="NoSpacing"/>
              <w:jc w:val="center"/>
            </w:pPr>
          </w:p>
        </w:tc>
      </w:tr>
    </w:tbl>
    <w:p w:rsidR="006A679E" w:rsidRDefault="006A679E" w:rsidP="006A679E">
      <w:pPr>
        <w:pStyle w:val="NoSpacing"/>
      </w:pPr>
    </w:p>
    <w:p w:rsidR="008A6919" w:rsidRDefault="008A6919" w:rsidP="006A679E">
      <w:pPr>
        <w:pStyle w:val="NoSpacing"/>
      </w:pPr>
    </w:p>
    <w:p w:rsidR="008A6919" w:rsidRDefault="008A6919" w:rsidP="008A6919">
      <w:pPr>
        <w:pStyle w:val="NoSpacing"/>
        <w:numPr>
          <w:ilvl w:val="0"/>
          <w:numId w:val="2"/>
        </w:numPr>
        <w:rPr>
          <w:i/>
        </w:rPr>
      </w:pPr>
      <w:r w:rsidRPr="008A6919">
        <w:rPr>
          <w:i/>
        </w:rPr>
        <w:t xml:space="preserve">Using the AMD data, calculate the p value: </w:t>
      </w:r>
    </w:p>
    <w:p w:rsidR="008A6919" w:rsidRDefault="008A6919" w:rsidP="008A6919">
      <w:pPr>
        <w:pStyle w:val="NoSpacing"/>
        <w:rPr>
          <w:i/>
        </w:rPr>
      </w:pPr>
    </w:p>
    <w:p w:rsidR="008A6919" w:rsidRDefault="00807FB8" w:rsidP="008A6919">
      <w:pPr>
        <w:pStyle w:val="NoSpacing"/>
      </w:pPr>
      <w:r>
        <w:t>=F.DIST.RT (x, d.f.1, d.f.2)</w:t>
      </w:r>
    </w:p>
    <w:p w:rsidR="008A6919" w:rsidRPr="008A6919" w:rsidRDefault="008A6919" w:rsidP="008A6919">
      <w:pPr>
        <w:pStyle w:val="NoSpacing"/>
      </w:pPr>
    </w:p>
    <w:p w:rsidR="008A6919" w:rsidRDefault="008A6919" w:rsidP="006A679E">
      <w:pPr>
        <w:pStyle w:val="NoSpacing"/>
      </w:pPr>
    </w:p>
    <w:p w:rsidR="00952A3C" w:rsidRPr="00952A3C" w:rsidRDefault="00952A3C" w:rsidP="006A679E">
      <w:pPr>
        <w:pStyle w:val="NoSpacing"/>
      </w:pPr>
      <w:r w:rsidRPr="00952A3C">
        <w:t xml:space="preserve">If you're not going to use the mean squares for anything, you could just report this as "The means were significantly heterogeneous (one-way </w:t>
      </w:r>
      <w:proofErr w:type="spellStart"/>
      <w:r w:rsidRPr="00952A3C">
        <w:t>anova</w:t>
      </w:r>
      <w:proofErr w:type="spellEnd"/>
      <w:r w:rsidRPr="00952A3C">
        <w:t>, F</w:t>
      </w:r>
      <w:r w:rsidRPr="00952A3C">
        <w:rPr>
          <w:vertAlign w:val="subscript"/>
        </w:rPr>
        <w:t>4, 34</w:t>
      </w:r>
      <w:r w:rsidRPr="00952A3C">
        <w:t xml:space="preserve">=7.12, </w:t>
      </w:r>
      <w:r w:rsidRPr="00952A3C">
        <w:rPr>
          <w:i/>
          <w:iCs/>
        </w:rPr>
        <w:t>P</w:t>
      </w:r>
      <w:r w:rsidRPr="00952A3C">
        <w:t>=2.8×10</w:t>
      </w:r>
      <w:r w:rsidRPr="00952A3C">
        <w:rPr>
          <w:vertAlign w:val="superscript"/>
        </w:rPr>
        <w:t>-4</w:t>
      </w:r>
      <w:r w:rsidRPr="00952A3C">
        <w:t>)." The degrees of freedom are given as a subscript to F, with the numerator first.</w:t>
      </w:r>
    </w:p>
    <w:p w:rsidR="00952A3C" w:rsidRDefault="00952A3C" w:rsidP="002172C0">
      <w:pPr>
        <w:pStyle w:val="NoSpacing"/>
      </w:pPr>
    </w:p>
    <w:p w:rsidR="006A679E" w:rsidRPr="006047DA" w:rsidRDefault="006A679E" w:rsidP="006A679E">
      <w:pPr>
        <w:pStyle w:val="NoSpacing"/>
        <w:rPr>
          <w:b/>
        </w:rPr>
      </w:pPr>
      <w:r w:rsidRPr="006047DA">
        <w:rPr>
          <w:b/>
        </w:rPr>
        <w:t>Decision Rule</w:t>
      </w:r>
    </w:p>
    <w:p w:rsidR="006A679E" w:rsidRDefault="006A679E" w:rsidP="006A679E">
      <w:pPr>
        <w:pStyle w:val="NoSpacing"/>
      </w:pPr>
    </w:p>
    <w:p w:rsidR="006A679E" w:rsidRDefault="006A679E" w:rsidP="006A679E">
      <w:pPr>
        <w:pStyle w:val="NoSpacing"/>
      </w:pPr>
      <w:r>
        <w:t xml:space="preserve">If the decision is to reject the null, then at least one of the means </w:t>
      </w:r>
      <w:r w:rsidR="008A6919">
        <w:t xml:space="preserve">is different. However, the </w:t>
      </w:r>
      <w:proofErr w:type="spellStart"/>
      <w:r w:rsidR="008A6919">
        <w:t>anova</w:t>
      </w:r>
      <w:proofErr w:type="spellEnd"/>
      <w:r>
        <w:t xml:space="preserve"> does not tell you where the difference lies. For this, you need another test, either the </w:t>
      </w:r>
      <w:proofErr w:type="spellStart"/>
      <w:r>
        <w:t>Scheffe</w:t>
      </w:r>
      <w:proofErr w:type="spellEnd"/>
      <w:r>
        <w:t>' or Tukey</w:t>
      </w:r>
      <w:r w:rsidR="008A6919">
        <w:t>-Kramer</w:t>
      </w:r>
      <w:r w:rsidR="00807FB8">
        <w:t xml:space="preserve"> test. </w:t>
      </w:r>
    </w:p>
    <w:p w:rsidR="00113EC7" w:rsidRDefault="00113EC7" w:rsidP="006A679E">
      <w:pPr>
        <w:pStyle w:val="NoSpacing"/>
      </w:pPr>
    </w:p>
    <w:p w:rsidR="00113EC7" w:rsidRDefault="00113EC7" w:rsidP="00113EC7">
      <w:pPr>
        <w:pStyle w:val="ListParagraph"/>
        <w:numPr>
          <w:ilvl w:val="0"/>
          <w:numId w:val="8"/>
        </w:numPr>
      </w:pPr>
      <w:proofErr w:type="spellStart"/>
      <w:r>
        <w:t>Tukeys</w:t>
      </w:r>
      <w:proofErr w:type="spellEnd"/>
      <w:r>
        <w:t xml:space="preserve"> or </w:t>
      </w:r>
      <w:proofErr w:type="spellStart"/>
      <w:r>
        <w:t>Sheffe’s</w:t>
      </w:r>
      <w:proofErr w:type="spellEnd"/>
      <w:r>
        <w:t xml:space="preserve"> post-hoc analysis</w:t>
      </w:r>
    </w:p>
    <w:p w:rsidR="00113EC7" w:rsidRDefault="00113EC7" w:rsidP="00113EC7">
      <w:pPr>
        <w:pStyle w:val="ListParagraph"/>
      </w:pPr>
      <w:r>
        <w:t xml:space="preserve">Online app and Tukey’s </w:t>
      </w:r>
    </w:p>
    <w:p w:rsidR="00113EC7" w:rsidRDefault="0075614E" w:rsidP="00113EC7">
      <w:pPr>
        <w:pStyle w:val="ListParagraph"/>
      </w:pPr>
      <w:hyperlink r:id="rId13" w:history="1">
        <w:r w:rsidR="00113EC7" w:rsidRPr="005D625D">
          <w:rPr>
            <w:rStyle w:val="Hyperlink"/>
          </w:rPr>
          <w:t>http://web.mst.edu/~psyworld/tukeyscalculator.htm</w:t>
        </w:r>
      </w:hyperlink>
    </w:p>
    <w:p w:rsidR="00113EC7" w:rsidRDefault="00113EC7" w:rsidP="00113EC7">
      <w:pPr>
        <w:pStyle w:val="ListParagraph"/>
      </w:pPr>
      <w:r w:rsidRPr="00A83BE7">
        <w:t xml:space="preserve"> </w:t>
      </w:r>
      <w:proofErr w:type="gramStart"/>
      <w:r>
        <w:t>and</w:t>
      </w:r>
      <w:proofErr w:type="gramEnd"/>
      <w:r>
        <w:t xml:space="preserve"> Tukey’s significant/probability table</w:t>
      </w:r>
    </w:p>
    <w:p w:rsidR="00113EC7" w:rsidRDefault="00113EC7" w:rsidP="00113EC7">
      <w:pPr>
        <w:pStyle w:val="NoSpacing"/>
        <w:numPr>
          <w:ilvl w:val="0"/>
          <w:numId w:val="2"/>
        </w:numPr>
      </w:pPr>
      <w:r>
        <w:t>What did you find? I found that four of the combinations were significant at 0.05. Which four?</w:t>
      </w:r>
    </w:p>
    <w:p w:rsidR="006047DA" w:rsidRDefault="006047DA" w:rsidP="006A679E">
      <w:pPr>
        <w:pStyle w:val="NoSpacing"/>
      </w:pPr>
    </w:p>
    <w:p w:rsidR="006047DA" w:rsidRDefault="006047DA" w:rsidP="006A679E">
      <w:pPr>
        <w:pStyle w:val="NoSpacing"/>
      </w:pPr>
    </w:p>
    <w:p w:rsidR="006047DA" w:rsidRDefault="006047DA" w:rsidP="006A679E">
      <w:pPr>
        <w:pStyle w:val="NoSpacing"/>
        <w:rPr>
          <w:b/>
        </w:rPr>
      </w:pPr>
    </w:p>
    <w:p w:rsidR="006047DA" w:rsidRPr="006047DA" w:rsidRDefault="006047DA" w:rsidP="006A679E">
      <w:pPr>
        <w:pStyle w:val="NoSpacing"/>
        <w:rPr>
          <w:b/>
        </w:rPr>
      </w:pPr>
      <w:r w:rsidRPr="006047DA">
        <w:rPr>
          <w:b/>
        </w:rPr>
        <w:t xml:space="preserve">Good news (finally): </w:t>
      </w:r>
    </w:p>
    <w:p w:rsidR="006047DA" w:rsidRDefault="006047DA" w:rsidP="006A679E">
      <w:pPr>
        <w:pStyle w:val="NoSpacing"/>
      </w:pPr>
    </w:p>
    <w:p w:rsidR="006047DA" w:rsidRDefault="006047DA" w:rsidP="006A679E">
      <w:pPr>
        <w:pStyle w:val="NoSpacing"/>
      </w:pPr>
      <w:r w:rsidRPr="006047DA">
        <w:t xml:space="preserve">Excel include an "Analysis </w:t>
      </w:r>
      <w:proofErr w:type="spellStart"/>
      <w:r w:rsidRPr="006047DA">
        <w:t>Toolpak</w:t>
      </w:r>
      <w:proofErr w:type="spellEnd"/>
      <w:r w:rsidRPr="006047DA">
        <w:t>," which includes an "</w:t>
      </w:r>
      <w:proofErr w:type="spellStart"/>
      <w:r w:rsidRPr="006047DA">
        <w:t>Anova</w:t>
      </w:r>
      <w:proofErr w:type="spellEnd"/>
      <w:r w:rsidRPr="006047DA">
        <w:t xml:space="preserve">: Single Factor" function that will do a one-way </w:t>
      </w:r>
      <w:proofErr w:type="spellStart"/>
      <w:r w:rsidRPr="006047DA">
        <w:t>anova</w:t>
      </w:r>
      <w:proofErr w:type="spellEnd"/>
      <w:r w:rsidRPr="006047DA">
        <w:t>. It does not include any techniques for unplanned comparisons of means, and it does not partition the variance.</w:t>
      </w:r>
      <w:r>
        <w:t xml:space="preserve"> Try it now.</w:t>
      </w:r>
    </w:p>
    <w:p w:rsidR="006047DA" w:rsidRDefault="006047DA" w:rsidP="006A679E">
      <w:pPr>
        <w:pStyle w:val="NoSpacing"/>
      </w:pPr>
    </w:p>
    <w:p w:rsidR="006047DA" w:rsidRDefault="006047DA" w:rsidP="006A679E">
      <w:pPr>
        <w:pStyle w:val="NoSpacing"/>
      </w:pPr>
    </w:p>
    <w:p w:rsidR="003D409C" w:rsidRDefault="003D409C" w:rsidP="006A679E">
      <w:pPr>
        <w:pStyle w:val="NoSpacing"/>
        <w:rPr>
          <w:b/>
        </w:rPr>
      </w:pPr>
    </w:p>
    <w:p w:rsidR="003D409C" w:rsidRDefault="003D409C" w:rsidP="006A679E">
      <w:pPr>
        <w:pStyle w:val="NoSpacing"/>
        <w:rPr>
          <w:b/>
        </w:rPr>
      </w:pPr>
    </w:p>
    <w:p w:rsidR="00FD6D92" w:rsidRDefault="00FD6D92" w:rsidP="006A679E">
      <w:pPr>
        <w:pStyle w:val="NoSpacing"/>
        <w:rPr>
          <w:b/>
        </w:rPr>
      </w:pPr>
    </w:p>
    <w:p w:rsidR="00FD6D92" w:rsidRDefault="00FD6D92" w:rsidP="006A679E">
      <w:pPr>
        <w:pStyle w:val="NoSpacing"/>
        <w:rPr>
          <w:b/>
        </w:rPr>
      </w:pPr>
    </w:p>
    <w:p w:rsidR="00FD6D92" w:rsidRDefault="00FD6D92" w:rsidP="006A679E">
      <w:pPr>
        <w:pStyle w:val="NoSpacing"/>
        <w:rPr>
          <w:b/>
        </w:rPr>
      </w:pPr>
    </w:p>
    <w:p w:rsidR="00FD6D92" w:rsidRDefault="00FD6D92" w:rsidP="006A679E">
      <w:pPr>
        <w:pStyle w:val="NoSpacing"/>
        <w:rPr>
          <w:b/>
        </w:rPr>
      </w:pPr>
    </w:p>
    <w:p w:rsidR="006047DA" w:rsidRPr="006047DA" w:rsidRDefault="006047DA" w:rsidP="006A679E">
      <w:pPr>
        <w:pStyle w:val="NoSpacing"/>
        <w:rPr>
          <w:b/>
        </w:rPr>
      </w:pPr>
      <w:r w:rsidRPr="006047DA">
        <w:rPr>
          <w:b/>
        </w:rPr>
        <w:t xml:space="preserve">On your own: </w:t>
      </w:r>
    </w:p>
    <w:p w:rsidR="006047DA" w:rsidRDefault="006047DA" w:rsidP="006A679E">
      <w:pPr>
        <w:pStyle w:val="NoSpacing"/>
      </w:pPr>
    </w:p>
    <w:p w:rsidR="005E7E3D" w:rsidRDefault="006047DA" w:rsidP="005E7E3D">
      <w:pPr>
        <w:pStyle w:val="NoSpacing"/>
      </w:pPr>
      <w:r>
        <w:t xml:space="preserve">Using the Animal Genome Size Database </w:t>
      </w:r>
      <w:r w:rsidR="005E7E3D">
        <w:t xml:space="preserve">found </w:t>
      </w:r>
      <w:proofErr w:type="gramStart"/>
      <w:r w:rsidR="005E7E3D">
        <w:t xml:space="preserve">at  </w:t>
      </w:r>
      <w:proofErr w:type="gramEnd"/>
      <w:r>
        <w:fldChar w:fldCharType="begin"/>
      </w:r>
      <w:r>
        <w:instrText xml:space="preserve"> HYPERLINK "</w:instrText>
      </w:r>
      <w:r w:rsidRPr="006047DA">
        <w:instrText>http://www.genomesize.com/</w:instrText>
      </w:r>
      <w:r>
        <w:instrText xml:space="preserve">" </w:instrText>
      </w:r>
      <w:r>
        <w:fldChar w:fldCharType="separate"/>
      </w:r>
      <w:r w:rsidRPr="00A82BAC">
        <w:rPr>
          <w:rStyle w:val="Hyperlink"/>
        </w:rPr>
        <w:t>http://www.genomesize.com/</w:t>
      </w:r>
      <w:r>
        <w:fldChar w:fldCharType="end"/>
      </w:r>
      <w:r>
        <w:t xml:space="preserve"> </w:t>
      </w:r>
      <w:r w:rsidR="005E7E3D">
        <w:t xml:space="preserve"> </w:t>
      </w:r>
      <w:r>
        <w:t xml:space="preserve">select </w:t>
      </w:r>
      <w:r w:rsidR="005E7E3D">
        <w:t xml:space="preserve">data on the genome size (measured in </w:t>
      </w:r>
      <w:proofErr w:type="spellStart"/>
      <w:r w:rsidR="005E7E3D">
        <w:t>picograms</w:t>
      </w:r>
      <w:proofErr w:type="spellEnd"/>
      <w:r w:rsidR="005E7E3D">
        <w:t xml:space="preserve"> of DNA per haploid cell or c value) of crustaceans. The cause of variation in genome size has been a puzzle for a long time; use these data to answer the biological</w:t>
      </w:r>
      <w:r w:rsidR="003D409C">
        <w:t xml:space="preserve"> question of whether some families</w:t>
      </w:r>
      <w:r w:rsidR="005E7E3D">
        <w:t xml:space="preserve"> of crustaceans have different genome sizes than others. </w:t>
      </w:r>
      <w:r w:rsidR="003D409C">
        <w:t xml:space="preserve">Export to excel and group by class. </w:t>
      </w:r>
      <w:r w:rsidR="005A2174">
        <w:t>Following the steps outlined above, including testing the assumptions, r</w:t>
      </w:r>
      <w:r w:rsidR="003D409C">
        <w:t xml:space="preserve">un a one way </w:t>
      </w:r>
      <w:proofErr w:type="spellStart"/>
      <w:r w:rsidR="003D409C">
        <w:t>anova</w:t>
      </w:r>
      <w:proofErr w:type="spellEnd"/>
      <w:r w:rsidR="003D409C">
        <w:t xml:space="preserve"> to look for differences amongst families. </w:t>
      </w:r>
    </w:p>
    <w:p w:rsidR="006047DA" w:rsidRDefault="006047DA" w:rsidP="006A679E">
      <w:pPr>
        <w:pStyle w:val="NoSpacing"/>
      </w:pPr>
    </w:p>
    <w:p w:rsidR="003D409C" w:rsidRPr="003D409C" w:rsidRDefault="003D409C" w:rsidP="003D409C">
      <w:pPr>
        <w:pStyle w:val="NoSpacing"/>
        <w:numPr>
          <w:ilvl w:val="0"/>
          <w:numId w:val="2"/>
        </w:numPr>
        <w:rPr>
          <w:i/>
        </w:rPr>
      </w:pPr>
      <w:r w:rsidRPr="003D409C">
        <w:rPr>
          <w:i/>
        </w:rPr>
        <w:t>Enter your results in the table below:</w:t>
      </w:r>
    </w:p>
    <w:p w:rsidR="006047DA" w:rsidRDefault="006047DA" w:rsidP="006A679E">
      <w:pPr>
        <w:pStyle w:val="NoSpacing"/>
      </w:pPr>
    </w:p>
    <w:tbl>
      <w:tblPr>
        <w:tblW w:w="8985" w:type="dxa"/>
        <w:tblCellSpacing w:w="15" w:type="dxa"/>
        <w:tblCellMar>
          <w:top w:w="15" w:type="dxa"/>
          <w:left w:w="15" w:type="dxa"/>
          <w:bottom w:w="15" w:type="dxa"/>
          <w:right w:w="15" w:type="dxa"/>
        </w:tblCellMar>
        <w:tblLook w:val="04A0" w:firstRow="1" w:lastRow="0" w:firstColumn="1" w:lastColumn="0" w:noHBand="0" w:noVBand="1"/>
      </w:tblPr>
      <w:tblGrid>
        <w:gridCol w:w="1575"/>
        <w:gridCol w:w="2160"/>
        <w:gridCol w:w="1080"/>
        <w:gridCol w:w="1770"/>
        <w:gridCol w:w="1200"/>
        <w:gridCol w:w="1200"/>
      </w:tblGrid>
      <w:tr w:rsidR="003D409C" w:rsidRPr="00952A3C" w:rsidTr="003D409C">
        <w:trPr>
          <w:tblCellSpacing w:w="15" w:type="dxa"/>
        </w:trPr>
        <w:tc>
          <w:tcPr>
            <w:tcW w:w="1530" w:type="dxa"/>
            <w:hideMark/>
          </w:tcPr>
          <w:p w:rsidR="003D409C" w:rsidRPr="00952A3C" w:rsidRDefault="003D409C" w:rsidP="00195473">
            <w:pPr>
              <w:pStyle w:val="NoSpacing"/>
              <w:jc w:val="center"/>
            </w:pPr>
          </w:p>
        </w:tc>
        <w:tc>
          <w:tcPr>
            <w:tcW w:w="2130" w:type="dxa"/>
            <w:hideMark/>
          </w:tcPr>
          <w:p w:rsidR="003D409C" w:rsidRPr="00952A3C" w:rsidRDefault="003D409C" w:rsidP="00195473">
            <w:pPr>
              <w:pStyle w:val="NoSpacing"/>
              <w:jc w:val="center"/>
            </w:pPr>
            <w:r w:rsidRPr="00952A3C">
              <w:t>sum of</w:t>
            </w:r>
            <w:r w:rsidRPr="00952A3C">
              <w:br/>
              <w:t>squares</w:t>
            </w:r>
          </w:p>
        </w:tc>
        <w:tc>
          <w:tcPr>
            <w:tcW w:w="1050" w:type="dxa"/>
            <w:hideMark/>
          </w:tcPr>
          <w:p w:rsidR="003D409C" w:rsidRPr="00952A3C" w:rsidRDefault="003D409C" w:rsidP="00195473">
            <w:pPr>
              <w:pStyle w:val="NoSpacing"/>
              <w:jc w:val="center"/>
            </w:pPr>
            <w:proofErr w:type="spellStart"/>
            <w:r w:rsidRPr="00952A3C">
              <w:t>d.f.</w:t>
            </w:r>
            <w:proofErr w:type="spellEnd"/>
          </w:p>
        </w:tc>
        <w:tc>
          <w:tcPr>
            <w:tcW w:w="1740" w:type="dxa"/>
            <w:hideMark/>
          </w:tcPr>
          <w:p w:rsidR="003D409C" w:rsidRPr="00952A3C" w:rsidRDefault="003D409C" w:rsidP="00195473">
            <w:pPr>
              <w:pStyle w:val="NoSpacing"/>
              <w:jc w:val="center"/>
            </w:pPr>
            <w:r w:rsidRPr="00952A3C">
              <w:t>mean</w:t>
            </w:r>
            <w:r w:rsidRPr="00952A3C">
              <w:br/>
              <w:t>square</w:t>
            </w:r>
          </w:p>
        </w:tc>
        <w:tc>
          <w:tcPr>
            <w:tcW w:w="1170" w:type="dxa"/>
            <w:hideMark/>
          </w:tcPr>
          <w:p w:rsidR="003D409C" w:rsidRPr="00952A3C" w:rsidRDefault="003D409C" w:rsidP="00195473">
            <w:pPr>
              <w:pStyle w:val="NoSpacing"/>
              <w:jc w:val="center"/>
            </w:pPr>
            <w:r w:rsidRPr="00952A3C">
              <w:t>F</w:t>
            </w:r>
            <w:r w:rsidRPr="00952A3C">
              <w:rPr>
                <w:vertAlign w:val="subscript"/>
              </w:rPr>
              <w:t>s</w:t>
            </w:r>
          </w:p>
        </w:tc>
        <w:tc>
          <w:tcPr>
            <w:tcW w:w="1155" w:type="dxa"/>
          </w:tcPr>
          <w:p w:rsidR="003D409C" w:rsidRPr="00952A3C" w:rsidRDefault="003D409C" w:rsidP="00195473">
            <w:pPr>
              <w:pStyle w:val="NoSpacing"/>
              <w:jc w:val="center"/>
            </w:pPr>
            <w:r>
              <w:t>P value</w:t>
            </w:r>
          </w:p>
        </w:tc>
      </w:tr>
      <w:tr w:rsidR="003D409C" w:rsidRPr="00952A3C" w:rsidTr="003D409C">
        <w:trPr>
          <w:tblCellSpacing w:w="15" w:type="dxa"/>
        </w:trPr>
        <w:tc>
          <w:tcPr>
            <w:tcW w:w="1530" w:type="dxa"/>
            <w:hideMark/>
          </w:tcPr>
          <w:p w:rsidR="003D409C" w:rsidRPr="00952A3C" w:rsidRDefault="003D409C" w:rsidP="00195473">
            <w:pPr>
              <w:pStyle w:val="NoSpacing"/>
              <w:jc w:val="center"/>
            </w:pPr>
            <w:r>
              <w:t>between</w:t>
            </w:r>
            <w:r w:rsidRPr="00952A3C">
              <w:t xml:space="preserve"> groups</w:t>
            </w:r>
          </w:p>
        </w:tc>
        <w:tc>
          <w:tcPr>
            <w:tcW w:w="2130" w:type="dxa"/>
          </w:tcPr>
          <w:p w:rsidR="003D409C" w:rsidRPr="00952A3C" w:rsidRDefault="003D409C" w:rsidP="00195473">
            <w:pPr>
              <w:pStyle w:val="NoSpacing"/>
              <w:jc w:val="center"/>
            </w:pPr>
          </w:p>
        </w:tc>
        <w:tc>
          <w:tcPr>
            <w:tcW w:w="1050" w:type="dxa"/>
          </w:tcPr>
          <w:p w:rsidR="003D409C" w:rsidRPr="00952A3C" w:rsidRDefault="003D409C" w:rsidP="00195473">
            <w:pPr>
              <w:pStyle w:val="NoSpacing"/>
              <w:jc w:val="center"/>
            </w:pPr>
          </w:p>
        </w:tc>
        <w:tc>
          <w:tcPr>
            <w:tcW w:w="1740" w:type="dxa"/>
          </w:tcPr>
          <w:p w:rsidR="003D409C" w:rsidRPr="00952A3C" w:rsidRDefault="003D409C" w:rsidP="00195473">
            <w:pPr>
              <w:pStyle w:val="NoSpacing"/>
              <w:jc w:val="center"/>
            </w:pPr>
          </w:p>
        </w:tc>
        <w:tc>
          <w:tcPr>
            <w:tcW w:w="1170" w:type="dxa"/>
            <w:hideMark/>
          </w:tcPr>
          <w:p w:rsidR="003D409C" w:rsidRPr="00952A3C" w:rsidRDefault="003D409C" w:rsidP="00195473">
            <w:pPr>
              <w:pStyle w:val="NoSpacing"/>
              <w:jc w:val="center"/>
            </w:pPr>
          </w:p>
        </w:tc>
        <w:tc>
          <w:tcPr>
            <w:tcW w:w="1155" w:type="dxa"/>
          </w:tcPr>
          <w:p w:rsidR="003D409C" w:rsidRPr="00952A3C" w:rsidRDefault="003D409C" w:rsidP="00195473">
            <w:pPr>
              <w:pStyle w:val="NoSpacing"/>
              <w:jc w:val="center"/>
            </w:pPr>
          </w:p>
        </w:tc>
      </w:tr>
      <w:tr w:rsidR="003D409C" w:rsidRPr="00952A3C" w:rsidTr="003D409C">
        <w:trPr>
          <w:tblCellSpacing w:w="15" w:type="dxa"/>
        </w:trPr>
        <w:tc>
          <w:tcPr>
            <w:tcW w:w="1530" w:type="dxa"/>
            <w:hideMark/>
          </w:tcPr>
          <w:p w:rsidR="003D409C" w:rsidRPr="00952A3C" w:rsidRDefault="003D409C" w:rsidP="00195473">
            <w:pPr>
              <w:pStyle w:val="NoSpacing"/>
              <w:jc w:val="center"/>
            </w:pPr>
            <w:r w:rsidRPr="00952A3C">
              <w:t>within groups</w:t>
            </w:r>
          </w:p>
        </w:tc>
        <w:tc>
          <w:tcPr>
            <w:tcW w:w="2130" w:type="dxa"/>
          </w:tcPr>
          <w:p w:rsidR="003D409C" w:rsidRPr="00952A3C" w:rsidRDefault="003D409C" w:rsidP="00195473">
            <w:pPr>
              <w:pStyle w:val="NoSpacing"/>
              <w:jc w:val="center"/>
            </w:pPr>
          </w:p>
        </w:tc>
        <w:tc>
          <w:tcPr>
            <w:tcW w:w="1050" w:type="dxa"/>
          </w:tcPr>
          <w:p w:rsidR="003D409C" w:rsidRPr="00952A3C" w:rsidRDefault="003D409C" w:rsidP="00195473">
            <w:pPr>
              <w:pStyle w:val="NoSpacing"/>
              <w:jc w:val="center"/>
            </w:pPr>
          </w:p>
        </w:tc>
        <w:tc>
          <w:tcPr>
            <w:tcW w:w="1740" w:type="dxa"/>
          </w:tcPr>
          <w:p w:rsidR="003D409C" w:rsidRPr="00952A3C" w:rsidRDefault="003D409C" w:rsidP="00195473">
            <w:pPr>
              <w:pStyle w:val="NoSpacing"/>
              <w:jc w:val="center"/>
            </w:pPr>
          </w:p>
        </w:tc>
        <w:tc>
          <w:tcPr>
            <w:tcW w:w="1170" w:type="dxa"/>
            <w:hideMark/>
          </w:tcPr>
          <w:p w:rsidR="003D409C" w:rsidRPr="00952A3C" w:rsidRDefault="003D409C" w:rsidP="00195473">
            <w:pPr>
              <w:pStyle w:val="NoSpacing"/>
              <w:jc w:val="center"/>
            </w:pPr>
          </w:p>
        </w:tc>
        <w:tc>
          <w:tcPr>
            <w:tcW w:w="1155" w:type="dxa"/>
          </w:tcPr>
          <w:p w:rsidR="003D409C" w:rsidRPr="00952A3C" w:rsidRDefault="003D409C" w:rsidP="00195473">
            <w:pPr>
              <w:pStyle w:val="NoSpacing"/>
              <w:jc w:val="center"/>
            </w:pPr>
          </w:p>
        </w:tc>
      </w:tr>
      <w:tr w:rsidR="003D409C" w:rsidRPr="00952A3C" w:rsidTr="003D409C">
        <w:trPr>
          <w:tblCellSpacing w:w="15" w:type="dxa"/>
        </w:trPr>
        <w:tc>
          <w:tcPr>
            <w:tcW w:w="1530" w:type="dxa"/>
            <w:hideMark/>
          </w:tcPr>
          <w:p w:rsidR="003D409C" w:rsidRPr="00952A3C" w:rsidRDefault="003D409C" w:rsidP="00195473">
            <w:pPr>
              <w:pStyle w:val="NoSpacing"/>
              <w:jc w:val="center"/>
            </w:pPr>
            <w:r w:rsidRPr="00952A3C">
              <w:t>total</w:t>
            </w:r>
          </w:p>
        </w:tc>
        <w:tc>
          <w:tcPr>
            <w:tcW w:w="2130" w:type="dxa"/>
          </w:tcPr>
          <w:p w:rsidR="003D409C" w:rsidRPr="00952A3C" w:rsidRDefault="003D409C" w:rsidP="00195473">
            <w:pPr>
              <w:pStyle w:val="NoSpacing"/>
              <w:jc w:val="center"/>
            </w:pPr>
          </w:p>
        </w:tc>
        <w:tc>
          <w:tcPr>
            <w:tcW w:w="1050" w:type="dxa"/>
          </w:tcPr>
          <w:p w:rsidR="003D409C" w:rsidRPr="00952A3C" w:rsidRDefault="003D409C" w:rsidP="00195473">
            <w:pPr>
              <w:pStyle w:val="NoSpacing"/>
              <w:jc w:val="center"/>
            </w:pPr>
          </w:p>
        </w:tc>
        <w:tc>
          <w:tcPr>
            <w:tcW w:w="1740" w:type="dxa"/>
          </w:tcPr>
          <w:p w:rsidR="003D409C" w:rsidRPr="00952A3C" w:rsidRDefault="003D409C" w:rsidP="00195473">
            <w:pPr>
              <w:pStyle w:val="NoSpacing"/>
              <w:jc w:val="center"/>
            </w:pPr>
          </w:p>
        </w:tc>
        <w:tc>
          <w:tcPr>
            <w:tcW w:w="1170" w:type="dxa"/>
            <w:hideMark/>
          </w:tcPr>
          <w:p w:rsidR="003D409C" w:rsidRPr="00952A3C" w:rsidRDefault="003D409C" w:rsidP="00195473">
            <w:pPr>
              <w:pStyle w:val="NoSpacing"/>
              <w:jc w:val="center"/>
            </w:pPr>
          </w:p>
        </w:tc>
        <w:tc>
          <w:tcPr>
            <w:tcW w:w="1155" w:type="dxa"/>
          </w:tcPr>
          <w:p w:rsidR="003D409C" w:rsidRPr="00952A3C" w:rsidRDefault="003D409C" w:rsidP="00195473">
            <w:pPr>
              <w:pStyle w:val="NoSpacing"/>
              <w:jc w:val="center"/>
            </w:pPr>
          </w:p>
        </w:tc>
      </w:tr>
    </w:tbl>
    <w:p w:rsidR="006047DA" w:rsidRDefault="006047DA" w:rsidP="006A679E">
      <w:pPr>
        <w:pStyle w:val="NoSpacing"/>
      </w:pPr>
    </w:p>
    <w:p w:rsidR="006047DA" w:rsidRDefault="003D409C" w:rsidP="003D409C">
      <w:pPr>
        <w:pStyle w:val="NoSpacing"/>
        <w:numPr>
          <w:ilvl w:val="0"/>
          <w:numId w:val="2"/>
        </w:numPr>
        <w:rPr>
          <w:i/>
        </w:rPr>
      </w:pPr>
      <w:r w:rsidRPr="003D409C">
        <w:rPr>
          <w:i/>
        </w:rPr>
        <w:t xml:space="preserve">What do you conclude? </w:t>
      </w:r>
    </w:p>
    <w:p w:rsidR="00BE2B22" w:rsidRDefault="00BE2B22" w:rsidP="00BE2B22">
      <w:pPr>
        <w:pStyle w:val="NoSpacing"/>
        <w:rPr>
          <w:i/>
        </w:rPr>
      </w:pPr>
    </w:p>
    <w:p w:rsidR="00BE2B22" w:rsidRDefault="00BE2B22" w:rsidP="00BE2B22">
      <w:pPr>
        <w:pStyle w:val="NoSpacing"/>
        <w:rPr>
          <w:i/>
        </w:rPr>
      </w:pPr>
    </w:p>
    <w:p w:rsidR="00BE2B22" w:rsidRDefault="00BE2B22" w:rsidP="00BE2B22">
      <w:pPr>
        <w:pStyle w:val="NoSpacing"/>
        <w:rPr>
          <w:i/>
        </w:rPr>
      </w:pPr>
    </w:p>
    <w:p w:rsidR="00BE2B22" w:rsidRDefault="00BE2B22" w:rsidP="00BE2B22">
      <w:pPr>
        <w:pStyle w:val="NoSpacing"/>
        <w:rPr>
          <w:i/>
        </w:rPr>
      </w:pPr>
    </w:p>
    <w:p w:rsidR="00BE2B22" w:rsidRDefault="00BE2B22" w:rsidP="00BE2B22">
      <w:pPr>
        <w:pStyle w:val="NoSpacing"/>
        <w:rPr>
          <w:i/>
        </w:rPr>
      </w:pPr>
    </w:p>
    <w:p w:rsidR="00BE2B22" w:rsidRDefault="00BE2B22" w:rsidP="00BE2B22">
      <w:pPr>
        <w:pStyle w:val="NoSpacing"/>
        <w:rPr>
          <w:i/>
        </w:rPr>
      </w:pPr>
    </w:p>
    <w:p w:rsidR="00BE2B22" w:rsidRDefault="00BE2B22" w:rsidP="00BE2B22">
      <w:pPr>
        <w:pStyle w:val="NoSpacing"/>
      </w:pPr>
      <w:proofErr w:type="gramStart"/>
      <w:r w:rsidRPr="00BE2B22">
        <w:t>Gregory, T.R. 2014.</w:t>
      </w:r>
      <w:proofErr w:type="gramEnd"/>
      <w:r w:rsidRPr="00BE2B22">
        <w:t xml:space="preserve"> </w:t>
      </w:r>
      <w:hyperlink r:id="rId14" w:history="1">
        <w:proofErr w:type="gramStart"/>
        <w:r w:rsidRPr="00BE2B22">
          <w:rPr>
            <w:color w:val="0000FF"/>
            <w:u w:val="single"/>
          </w:rPr>
          <w:t>Animal genome size database</w:t>
        </w:r>
      </w:hyperlink>
      <w:r w:rsidRPr="00BE2B22">
        <w:t>.</w:t>
      </w:r>
      <w:proofErr w:type="gramEnd"/>
    </w:p>
    <w:p w:rsidR="00BE2B22" w:rsidRPr="00BE2B22" w:rsidRDefault="00BE2B22" w:rsidP="00BE2B22">
      <w:pPr>
        <w:pStyle w:val="NoSpacing"/>
      </w:pPr>
      <w:proofErr w:type="gramStart"/>
      <w:r>
        <w:t>McDonald, J.H. 2014.</w:t>
      </w:r>
      <w:proofErr w:type="gramEnd"/>
      <w:r>
        <w:t xml:space="preserve"> Handbook of Biological Statistics (3rd </w:t>
      </w:r>
      <w:proofErr w:type="gramStart"/>
      <w:r>
        <w:t>ed</w:t>
      </w:r>
      <w:proofErr w:type="gramEnd"/>
      <w:r>
        <w:t xml:space="preserve">.). </w:t>
      </w:r>
      <w:proofErr w:type="gramStart"/>
      <w:r>
        <w:t>Sparky House Publishing, Baltimore, Maryland.</w:t>
      </w:r>
      <w:proofErr w:type="gramEnd"/>
    </w:p>
    <w:sectPr w:rsidR="00BE2B22" w:rsidRPr="00BE2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5A0"/>
    <w:multiLevelType w:val="hybridMultilevel"/>
    <w:tmpl w:val="DD5A7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5824"/>
    <w:multiLevelType w:val="hybridMultilevel"/>
    <w:tmpl w:val="6C42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41794"/>
    <w:multiLevelType w:val="hybridMultilevel"/>
    <w:tmpl w:val="E7B0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E2260"/>
    <w:multiLevelType w:val="hybridMultilevel"/>
    <w:tmpl w:val="14C4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56A8B"/>
    <w:multiLevelType w:val="hybridMultilevel"/>
    <w:tmpl w:val="6212D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77E0C"/>
    <w:multiLevelType w:val="hybridMultilevel"/>
    <w:tmpl w:val="8EF0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A4D8A"/>
    <w:multiLevelType w:val="hybridMultilevel"/>
    <w:tmpl w:val="76F8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16A41"/>
    <w:multiLevelType w:val="hybridMultilevel"/>
    <w:tmpl w:val="3F54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70129"/>
    <w:multiLevelType w:val="hybridMultilevel"/>
    <w:tmpl w:val="5F9A0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0E1FD1"/>
    <w:multiLevelType w:val="hybridMultilevel"/>
    <w:tmpl w:val="AD7AA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3D3B82"/>
    <w:multiLevelType w:val="hybridMultilevel"/>
    <w:tmpl w:val="D488E386"/>
    <w:lvl w:ilvl="0" w:tplc="1EBEB57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C477C"/>
    <w:multiLevelType w:val="hybridMultilevel"/>
    <w:tmpl w:val="249CC2D0"/>
    <w:lvl w:ilvl="0" w:tplc="EECCC9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AC4278"/>
    <w:multiLevelType w:val="hybridMultilevel"/>
    <w:tmpl w:val="2B02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5"/>
  </w:num>
  <w:num w:numId="5">
    <w:abstractNumId w:val="2"/>
  </w:num>
  <w:num w:numId="6">
    <w:abstractNumId w:val="3"/>
  </w:num>
  <w:num w:numId="7">
    <w:abstractNumId w:val="6"/>
  </w:num>
  <w:num w:numId="8">
    <w:abstractNumId w:val="0"/>
  </w:num>
  <w:num w:numId="9">
    <w:abstractNumId w:val="9"/>
  </w:num>
  <w:num w:numId="10">
    <w:abstractNumId w:val="8"/>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E5"/>
    <w:rsid w:val="00113EC7"/>
    <w:rsid w:val="00195473"/>
    <w:rsid w:val="00195C90"/>
    <w:rsid w:val="001A5CAC"/>
    <w:rsid w:val="00215DE5"/>
    <w:rsid w:val="002172C0"/>
    <w:rsid w:val="00392844"/>
    <w:rsid w:val="003D409C"/>
    <w:rsid w:val="004B23D1"/>
    <w:rsid w:val="005734FC"/>
    <w:rsid w:val="005A2174"/>
    <w:rsid w:val="005E7E3D"/>
    <w:rsid w:val="005F0223"/>
    <w:rsid w:val="006047DA"/>
    <w:rsid w:val="0061536B"/>
    <w:rsid w:val="006261C0"/>
    <w:rsid w:val="00661693"/>
    <w:rsid w:val="006A679E"/>
    <w:rsid w:val="0075614E"/>
    <w:rsid w:val="007F7E77"/>
    <w:rsid w:val="00807FB8"/>
    <w:rsid w:val="008A6919"/>
    <w:rsid w:val="00952A3C"/>
    <w:rsid w:val="009F3555"/>
    <w:rsid w:val="00AF4BE9"/>
    <w:rsid w:val="00BA4E36"/>
    <w:rsid w:val="00BC159B"/>
    <w:rsid w:val="00BE2B22"/>
    <w:rsid w:val="00C20FB7"/>
    <w:rsid w:val="00E93776"/>
    <w:rsid w:val="00ED5C08"/>
    <w:rsid w:val="00FA10E3"/>
    <w:rsid w:val="00FB3A25"/>
    <w:rsid w:val="00FD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DE5"/>
    <w:pPr>
      <w:spacing w:after="0" w:line="240" w:lineRule="auto"/>
    </w:pPr>
  </w:style>
  <w:style w:type="paragraph" w:styleId="NormalWeb">
    <w:name w:val="Normal (Web)"/>
    <w:basedOn w:val="Normal"/>
    <w:uiPriority w:val="99"/>
    <w:semiHidden/>
    <w:unhideWhenUsed/>
    <w:rsid w:val="00215DE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77"/>
    <w:rPr>
      <w:rFonts w:ascii="Tahoma" w:hAnsi="Tahoma" w:cs="Tahoma"/>
      <w:sz w:val="16"/>
      <w:szCs w:val="16"/>
    </w:rPr>
  </w:style>
  <w:style w:type="paragraph" w:styleId="ListParagraph">
    <w:name w:val="List Paragraph"/>
    <w:basedOn w:val="Normal"/>
    <w:uiPriority w:val="34"/>
    <w:qFormat/>
    <w:rsid w:val="007F7E77"/>
    <w:pPr>
      <w:ind w:left="720"/>
      <w:contextualSpacing/>
    </w:pPr>
  </w:style>
  <w:style w:type="character" w:styleId="Hyperlink">
    <w:name w:val="Hyperlink"/>
    <w:basedOn w:val="DefaultParagraphFont"/>
    <w:uiPriority w:val="99"/>
    <w:unhideWhenUsed/>
    <w:rsid w:val="006047DA"/>
    <w:rPr>
      <w:color w:val="CC9900" w:themeColor="hyperlink"/>
      <w:u w:val="single"/>
    </w:rPr>
  </w:style>
  <w:style w:type="table" w:styleId="TableGrid">
    <w:name w:val="Table Grid"/>
    <w:basedOn w:val="TableNormal"/>
    <w:uiPriority w:val="59"/>
    <w:rsid w:val="0019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1693"/>
    <w:rPr>
      <w:color w:val="808080"/>
    </w:rPr>
  </w:style>
  <w:style w:type="character" w:styleId="FollowedHyperlink">
    <w:name w:val="FollowedHyperlink"/>
    <w:basedOn w:val="DefaultParagraphFont"/>
    <w:uiPriority w:val="99"/>
    <w:semiHidden/>
    <w:unhideWhenUsed/>
    <w:rsid w:val="00113EC7"/>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DE5"/>
    <w:pPr>
      <w:spacing w:after="0" w:line="240" w:lineRule="auto"/>
    </w:pPr>
  </w:style>
  <w:style w:type="paragraph" w:styleId="NormalWeb">
    <w:name w:val="Normal (Web)"/>
    <w:basedOn w:val="Normal"/>
    <w:uiPriority w:val="99"/>
    <w:semiHidden/>
    <w:unhideWhenUsed/>
    <w:rsid w:val="00215DE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77"/>
    <w:rPr>
      <w:rFonts w:ascii="Tahoma" w:hAnsi="Tahoma" w:cs="Tahoma"/>
      <w:sz w:val="16"/>
      <w:szCs w:val="16"/>
    </w:rPr>
  </w:style>
  <w:style w:type="paragraph" w:styleId="ListParagraph">
    <w:name w:val="List Paragraph"/>
    <w:basedOn w:val="Normal"/>
    <w:uiPriority w:val="34"/>
    <w:qFormat/>
    <w:rsid w:val="007F7E77"/>
    <w:pPr>
      <w:ind w:left="720"/>
      <w:contextualSpacing/>
    </w:pPr>
  </w:style>
  <w:style w:type="character" w:styleId="Hyperlink">
    <w:name w:val="Hyperlink"/>
    <w:basedOn w:val="DefaultParagraphFont"/>
    <w:uiPriority w:val="99"/>
    <w:unhideWhenUsed/>
    <w:rsid w:val="006047DA"/>
    <w:rPr>
      <w:color w:val="CC9900" w:themeColor="hyperlink"/>
      <w:u w:val="single"/>
    </w:rPr>
  </w:style>
  <w:style w:type="table" w:styleId="TableGrid">
    <w:name w:val="Table Grid"/>
    <w:basedOn w:val="TableNormal"/>
    <w:uiPriority w:val="59"/>
    <w:rsid w:val="0019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1693"/>
    <w:rPr>
      <w:color w:val="808080"/>
    </w:rPr>
  </w:style>
  <w:style w:type="character" w:styleId="FollowedHyperlink">
    <w:name w:val="FollowedHyperlink"/>
    <w:basedOn w:val="DefaultParagraphFont"/>
    <w:uiPriority w:val="99"/>
    <w:semiHidden/>
    <w:unhideWhenUsed/>
    <w:rsid w:val="00113EC7"/>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94195">
      <w:bodyDiv w:val="1"/>
      <w:marLeft w:val="0"/>
      <w:marRight w:val="0"/>
      <w:marTop w:val="0"/>
      <w:marBottom w:val="0"/>
      <w:divBdr>
        <w:top w:val="none" w:sz="0" w:space="0" w:color="auto"/>
        <w:left w:val="none" w:sz="0" w:space="0" w:color="auto"/>
        <w:bottom w:val="none" w:sz="0" w:space="0" w:color="auto"/>
        <w:right w:val="none" w:sz="0" w:space="0" w:color="auto"/>
      </w:divBdr>
    </w:div>
    <w:div w:id="1707212922">
      <w:bodyDiv w:val="1"/>
      <w:marLeft w:val="0"/>
      <w:marRight w:val="0"/>
      <w:marTop w:val="0"/>
      <w:marBottom w:val="0"/>
      <w:divBdr>
        <w:top w:val="none" w:sz="0" w:space="0" w:color="auto"/>
        <w:left w:val="none" w:sz="0" w:space="0" w:color="auto"/>
        <w:bottom w:val="none" w:sz="0" w:space="0" w:color="auto"/>
        <w:right w:val="none" w:sz="0" w:space="0" w:color="auto"/>
      </w:divBdr>
      <w:divsChild>
        <w:div w:id="1166047863">
          <w:marLeft w:val="0"/>
          <w:marRight w:val="0"/>
          <w:marTop w:val="0"/>
          <w:marBottom w:val="0"/>
          <w:divBdr>
            <w:top w:val="none" w:sz="0" w:space="0" w:color="auto"/>
            <w:left w:val="none" w:sz="0" w:space="0" w:color="auto"/>
            <w:bottom w:val="none" w:sz="0" w:space="0" w:color="auto"/>
            <w:right w:val="none" w:sz="0" w:space="0" w:color="auto"/>
          </w:divBdr>
          <w:divsChild>
            <w:div w:id="1295721216">
              <w:marLeft w:val="0"/>
              <w:marRight w:val="0"/>
              <w:marTop w:val="0"/>
              <w:marBottom w:val="0"/>
              <w:divBdr>
                <w:top w:val="none" w:sz="0" w:space="0" w:color="auto"/>
                <w:left w:val="none" w:sz="0" w:space="0" w:color="auto"/>
                <w:bottom w:val="none" w:sz="0" w:space="0" w:color="auto"/>
                <w:right w:val="none" w:sz="0" w:space="0" w:color="auto"/>
              </w:divBdr>
              <w:divsChild>
                <w:div w:id="15052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5202">
      <w:bodyDiv w:val="1"/>
      <w:marLeft w:val="0"/>
      <w:marRight w:val="0"/>
      <w:marTop w:val="0"/>
      <w:marBottom w:val="0"/>
      <w:divBdr>
        <w:top w:val="none" w:sz="0" w:space="0" w:color="auto"/>
        <w:left w:val="none" w:sz="0" w:space="0" w:color="auto"/>
        <w:bottom w:val="none" w:sz="0" w:space="0" w:color="auto"/>
        <w:right w:val="none" w:sz="0" w:space="0" w:color="auto"/>
      </w:divBdr>
      <w:divsChild>
        <w:div w:id="1775518030">
          <w:marLeft w:val="0"/>
          <w:marRight w:val="0"/>
          <w:marTop w:val="0"/>
          <w:marBottom w:val="0"/>
          <w:divBdr>
            <w:top w:val="none" w:sz="0" w:space="0" w:color="auto"/>
            <w:left w:val="none" w:sz="0" w:space="0" w:color="auto"/>
            <w:bottom w:val="none" w:sz="0" w:space="0" w:color="auto"/>
            <w:right w:val="none" w:sz="0" w:space="0" w:color="auto"/>
          </w:divBdr>
          <w:divsChild>
            <w:div w:id="1280263155">
              <w:marLeft w:val="0"/>
              <w:marRight w:val="0"/>
              <w:marTop w:val="0"/>
              <w:marBottom w:val="0"/>
              <w:divBdr>
                <w:top w:val="none" w:sz="0" w:space="0" w:color="auto"/>
                <w:left w:val="none" w:sz="0" w:space="0" w:color="auto"/>
                <w:bottom w:val="none" w:sz="0" w:space="0" w:color="auto"/>
                <w:right w:val="none" w:sz="0" w:space="0" w:color="auto"/>
              </w:divBdr>
              <w:divsChild>
                <w:div w:id="6944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eb.mst.edu/~psyworld/tukeyscalculator.htm"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genomesize.com/"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54DA231B.dotm</Template>
  <TotalTime>0</TotalTime>
  <Pages>7</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Gallinger, Dawn</dc:creator>
  <cp:lastModifiedBy>Gallinger, Dawn</cp:lastModifiedBy>
  <cp:revision>2</cp:revision>
  <dcterms:created xsi:type="dcterms:W3CDTF">2016-06-06T18:07:00Z</dcterms:created>
  <dcterms:modified xsi:type="dcterms:W3CDTF">2016-06-06T18:07:00Z</dcterms:modified>
</cp:coreProperties>
</file>